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年（至少2年）。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leftChars="0"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bookmarkStart w:id="1" w:name="_GoBack"/>
      <w:bookmarkEnd w:id="1"/>
      <w:r>
        <w:rPr>
          <w:rFonts w:hint="eastAsia" w:ascii="仿宋" w:hAnsi="仿宋" w:eastAsia="仿宋" w:cs="仿宋"/>
          <w:sz w:val="28"/>
          <w:szCs w:val="28"/>
        </w:rPr>
        <w:t xml:space="preserve">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4654037"/>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2020-08-03T07:56:03Z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