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/>
          <w:sz w:val="32"/>
          <w:szCs w:val="32"/>
        </w:rPr>
        <w:t>2：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南京市儿童医院滁州分院二期扩建项目门诊楼和住院部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公共部位墙体防撞护角安装位置以及工程量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施工范围：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1、门诊楼共三层，每一层的公共部位的墙角以及柱角（除楼梯公共部位）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2、住院部与门诊楼之间的走廊公共部位的墙角以及柱角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3、住院部一层和二层西单元公共部位的墙角以及柱角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4、住院部侯梯厅进入病房区域的过道门洞位置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施工量：</w:t>
      </w:r>
    </w:p>
    <w:p>
      <w:r>
        <w:rPr>
          <w:rFonts w:hint="eastAsia" w:ascii="仿宋" w:hAnsi="仿宋" w:eastAsia="仿宋"/>
          <w:sz w:val="32"/>
          <w:szCs w:val="32"/>
        </w:rPr>
        <w:t>上述施工范围总的工程量概算为1430.32米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5489"/>
    <w:rsid w:val="075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2020-10-10T01:38:01Z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