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滁州市一院南区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信息机房UPS电池更换投标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报价表</w:t>
      </w:r>
    </w:p>
    <w:tbl>
      <w:tblPr>
        <w:tblStyle w:val="3"/>
        <w:tblW w:w="13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580"/>
        <w:gridCol w:w="825"/>
        <w:gridCol w:w="1335"/>
        <w:gridCol w:w="1086"/>
        <w:gridCol w:w="1875"/>
        <w:gridCol w:w="3195"/>
        <w:gridCol w:w="151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1" w:type="dxa"/>
          </w:tcPr>
          <w:p>
            <w:pPr>
              <w:keepNext w:val="0"/>
              <w:keepLines w:val="0"/>
              <w:pageBreakBefore w:val="0"/>
              <w:tabs>
                <w:tab w:val="left" w:pos="10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序号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合价</w:t>
            </w:r>
          </w:p>
        </w:tc>
        <w:tc>
          <w:tcPr>
            <w:tcW w:w="31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53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UPS蓄电池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6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val="en-US" w:eastAsia="zh-CN"/>
              </w:rPr>
              <w:t>合    计：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投标总价大写</w:t>
            </w:r>
          </w:p>
        </w:tc>
        <w:tc>
          <w:tcPr>
            <w:tcW w:w="1136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注：1.</w:t>
      </w:r>
      <w:r>
        <w:rPr>
          <w:rFonts w:ascii="仿宋" w:hAnsi="仿宋" w:eastAsia="仿宋" w:cs="仿宋"/>
          <w:color w:val="333333"/>
          <w:sz w:val="28"/>
          <w:szCs w:val="28"/>
        </w:rPr>
        <w:t>生产厂家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服务维修站点必须满足可2小时内响应并到达现场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2.报价时品牌任选其一（易事特、APC、梅兰日兰、松下、科士达），并标注清楚型号，电池质保期为三年或三年以上。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840" w:firstLineChars="2800"/>
        <w:textAlignment w:val="auto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投标单位（盖章）：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778" w:firstLineChars="2778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法定代表人或委托代理人：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778" w:firstLineChars="2778"/>
        <w:textAlignment w:val="auto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日期：</w:t>
      </w:r>
    </w:p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4241F"/>
    <w:rsid w:val="6EB4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2020-11-18T08:18:48Z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