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b/>
          <w:sz w:val="36"/>
          <w:szCs w:val="36"/>
        </w:rPr>
      </w:pPr>
      <w:r>
        <w:rPr>
          <w:rFonts w:hint="eastAsia" w:ascii="Times New Roman" w:hAnsi="Times New Roman" w:eastAsia="宋体"/>
          <w:b/>
          <w:sz w:val="36"/>
          <w:szCs w:val="36"/>
        </w:rPr>
        <w:t>评 分 标 准</w:t>
      </w:r>
    </w:p>
    <w:tbl>
      <w:tblPr>
        <w:tblStyle w:val="3"/>
        <w:tblpPr w:leftFromText="180" w:rightFromText="180" w:vertAnchor="text" w:horzAnchor="page" w:tblpX="1584" w:tblpY="413"/>
        <w:tblOverlap w:val="never"/>
        <w:tblW w:w="931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921"/>
        <w:gridCol w:w="59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分值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评分因素分项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rFonts w:hint="eastAsia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商务</w:t>
            </w:r>
          </w:p>
          <w:p>
            <w:pPr>
              <w:widowControl/>
              <w:spacing w:before="156" w:beforeLines="50" w:line="360" w:lineRule="auto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部分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评标价格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投标报价得分=评标基准价/投标报价×30分，评分过程中，数据的计算过程和计算结果均保留两位小数，小数点后第三位四舍五入。</w:t>
            </w:r>
          </w:p>
          <w:p>
            <w:pPr>
              <w:widowControl/>
              <w:spacing w:before="156" w:beforeLines="50" w:line="360" w:lineRule="auto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Ansi="宋体"/>
                <w:kern w:val="0"/>
                <w:szCs w:val="21"/>
              </w:rPr>
              <w:t>备注：实质性响应招标文件要求且价格最低的投标报价为评标基准价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rFonts w:hint="eastAsia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资信</w:t>
            </w:r>
          </w:p>
          <w:p>
            <w:pPr>
              <w:widowControl/>
              <w:spacing w:before="156" w:beforeLines="50"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部分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厂商资质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rFonts w:hint="eastAsia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</w:rPr>
              <w:t>提供产品CCC认证，并且CCC认证证书中制造商和生产企业名称一致，原厂具有ISO9001质量管理体系认证、ISO13485质量管理体系认</w:t>
            </w:r>
            <w:r>
              <w:rPr>
                <w:rFonts w:hint="eastAsia" w:hAnsi="宋体"/>
                <w:b w:val="0"/>
                <w:bCs w:val="0"/>
                <w:kern w:val="0"/>
                <w:szCs w:val="21"/>
              </w:rPr>
              <w:t>证、ISO14001环境管理体系认证、QC080000有害物质管理体系认证</w:t>
            </w:r>
            <w:r>
              <w:rPr>
                <w:rFonts w:hint="eastAsia" w:hAnsi="宋体"/>
                <w:b w:val="0"/>
                <w:bCs w:val="0"/>
                <w:kern w:val="0"/>
                <w:szCs w:val="21"/>
                <w:lang w:val="en-US" w:eastAsia="zh-CN"/>
              </w:rPr>
              <w:t>（每个认证得3分）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技术</w:t>
            </w:r>
          </w:p>
          <w:p>
            <w:pPr>
              <w:widowControl/>
              <w:spacing w:before="156" w:beforeLines="50" w:line="360" w:lineRule="auto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部分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对招标文件技术规格要求的响应程度（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50</w:t>
            </w:r>
            <w:r>
              <w:rPr>
                <w:rFonts w:hAnsi="宋体"/>
                <w:kern w:val="0"/>
                <w:szCs w:val="21"/>
              </w:rPr>
              <w:t>分）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所投设备的技术参数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、性能等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应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最大限度地满足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采购文件的要求；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打“★”的为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关键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技术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指标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，出现一个负偏离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技术标部分得0分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；其他技术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指标出现负偏离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，每一个扣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分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各投标单位均应提供相关的证明材料（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产品检测报告或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彩页或提供原厂家确认并加盖公章的技术参数表）并作出相应的对比（列表）供评委评判，否则评委可视为未对此进行响应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售后服务部分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spacing w:before="156" w:beforeLines="50" w:line="360" w:lineRule="auto"/>
              <w:rPr>
                <w:rFonts w:hint="default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质保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tabs>
                <w:tab w:val="left" w:pos="0"/>
              </w:tabs>
              <w:spacing w:line="4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质保三年起（得2分），每增加一年（1.5分），本项最高分5分。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2185E"/>
    <w:rsid w:val="44D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lain Text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/>
      <w:kern w:val="0"/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2020-12-09T02:58:12Z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