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0"/>
        <w:rPr>
          <w:rFonts w:asciiTheme="majorEastAsia" w:hAnsiTheme="majorEastAsia" w:eastAsiaTheme="majorEastAsia"/>
          <w:sz w:val="28"/>
          <w:szCs w:val="24"/>
        </w:rPr>
      </w:pPr>
      <w:bookmarkStart w:id="6" w:name="_GoBack"/>
      <w:bookmarkEnd w:id="6"/>
      <w:r>
        <w:rPr>
          <w:rFonts w:hint="eastAsia" w:asciiTheme="majorEastAsia" w:hAnsiTheme="majorEastAsia" w:eastAsiaTheme="majorEastAsia"/>
          <w:sz w:val="28"/>
          <w:szCs w:val="24"/>
        </w:rPr>
        <w:t>系统功能</w:t>
      </w:r>
    </w:p>
    <w:p>
      <w:pPr>
        <w:spacing w:line="360" w:lineRule="auto"/>
        <w:rPr>
          <w:rFonts w:asciiTheme="majorEastAsia" w:hAnsiTheme="majorEastAsia" w:eastAsiaTheme="majorEastAsia"/>
          <w:sz w:val="24"/>
          <w:szCs w:val="24"/>
        </w:rPr>
      </w:pPr>
      <w:r>
        <w:rPr>
          <w:rFonts w:hint="eastAsia" w:asciiTheme="majorEastAsia" w:hAnsiTheme="majorEastAsia" w:eastAsiaTheme="majorEastAsia"/>
          <w:sz w:val="24"/>
          <w:szCs w:val="24"/>
        </w:rPr>
        <w:t>1、门诊营养管理系统模块功能</w:t>
      </w:r>
    </w:p>
    <w:tbl>
      <w:tblPr>
        <w:tblStyle w:val="10"/>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1857"/>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86"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一级模块</w:t>
            </w: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二级模块</w:t>
            </w:r>
          </w:p>
        </w:tc>
        <w:tc>
          <w:tcPr>
            <w:tcW w:w="5415" w:type="dxa"/>
            <w:vAlign w:val="center"/>
          </w:tcPr>
          <w:p>
            <w:pPr>
              <w:spacing w:line="360" w:lineRule="auto"/>
              <w:jc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功能明细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486" w:type="dxa"/>
            <w:vMerge w:val="restart"/>
            <w:vAlign w:val="center"/>
          </w:tcPr>
          <w:p>
            <w:pPr>
              <w:spacing w:line="360" w:lineRule="auto"/>
              <w:jc w:val="center"/>
              <w:rPr>
                <w:rFonts w:cs="仿宋" w:asciiTheme="majorEastAsia" w:hAnsiTheme="majorEastAsia" w:eastAsiaTheme="majorEastAsia"/>
                <w:kern w:val="0"/>
                <w:sz w:val="24"/>
                <w:szCs w:val="24"/>
              </w:rPr>
            </w:pPr>
            <w:r>
              <w:rPr>
                <w:rFonts w:hint="eastAsia" w:cs="仿宋" w:asciiTheme="majorEastAsia" w:hAnsiTheme="majorEastAsia" w:eastAsiaTheme="majorEastAsia"/>
                <w:sz w:val="24"/>
                <w:szCs w:val="24"/>
              </w:rPr>
              <w:t>门诊患者管理</w:t>
            </w:r>
          </w:p>
        </w:tc>
        <w:tc>
          <w:tcPr>
            <w:tcW w:w="1857" w:type="dxa"/>
            <w:vAlign w:val="center"/>
          </w:tcPr>
          <w:p>
            <w:pPr>
              <w:spacing w:line="360" w:lineRule="auto"/>
              <w:jc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患者门诊档案</w:t>
            </w:r>
          </w:p>
        </w:tc>
        <w:tc>
          <w:tcPr>
            <w:tcW w:w="5415" w:type="dxa"/>
          </w:tcPr>
          <w:p>
            <w:pPr>
              <w:numPr>
                <w:ilvl w:val="0"/>
                <w:numId w:val="1"/>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支持门诊患者信息手动建档功能；</w:t>
            </w:r>
          </w:p>
          <w:p>
            <w:pPr>
              <w:numPr>
                <w:ilvl w:val="0"/>
                <w:numId w:val="1"/>
              </w:numPr>
              <w:spacing w:line="360" w:lineRule="auto"/>
              <w:jc w:val="left"/>
              <w:rPr>
                <w:rFonts w:cs="仿宋" w:asciiTheme="majorEastAsia" w:hAnsiTheme="majorEastAsia" w:eastAsiaTheme="majorEastAsia"/>
                <w:kern w:val="0"/>
                <w:sz w:val="24"/>
                <w:szCs w:val="24"/>
              </w:rPr>
            </w:pPr>
            <w:r>
              <w:rPr>
                <w:rFonts w:hint="eastAsia" w:cs="仿宋" w:asciiTheme="majorEastAsia" w:hAnsiTheme="majorEastAsia" w:eastAsiaTheme="majorEastAsia"/>
                <w:sz w:val="24"/>
                <w:szCs w:val="24"/>
              </w:rPr>
              <w:t>支持对接HIS系统调取门诊患者基本信息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continue"/>
          </w:tcPr>
          <w:p>
            <w:pPr>
              <w:spacing w:line="360" w:lineRule="auto"/>
              <w:jc w:val="left"/>
              <w:rPr>
                <w:rFonts w:cs="仿宋" w:asciiTheme="majorEastAsia" w:hAnsiTheme="majorEastAsia" w:eastAsiaTheme="majorEastAsia"/>
                <w:kern w:val="0"/>
                <w:sz w:val="24"/>
                <w:szCs w:val="24"/>
              </w:rPr>
            </w:pP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患者信息查询</w:t>
            </w:r>
          </w:p>
        </w:tc>
        <w:tc>
          <w:tcPr>
            <w:tcW w:w="5415" w:type="dxa"/>
          </w:tcPr>
          <w:p>
            <w:pPr>
              <w:numPr>
                <w:ilvl w:val="0"/>
                <w:numId w:val="2"/>
              </w:numPr>
              <w:spacing w:line="360" w:lineRule="auto"/>
              <w:jc w:val="left"/>
              <w:rPr>
                <w:rFonts w:cs="仿宋" w:asciiTheme="majorEastAsia" w:hAnsiTheme="majorEastAsia" w:eastAsiaTheme="majorEastAsia"/>
                <w:kern w:val="0"/>
                <w:sz w:val="24"/>
                <w:szCs w:val="24"/>
              </w:rPr>
            </w:pPr>
            <w:r>
              <w:rPr>
                <w:rFonts w:hint="eastAsia" w:cs="仿宋" w:asciiTheme="majorEastAsia" w:hAnsiTheme="majorEastAsia" w:eastAsiaTheme="majorEastAsia"/>
                <w:sz w:val="24"/>
                <w:szCs w:val="24"/>
              </w:rPr>
              <w:t>提供根据门诊日期范围、门诊号、姓名查询患者历次营养门诊信息。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restart"/>
            <w:vAlign w:val="center"/>
          </w:tcPr>
          <w:p>
            <w:pPr>
              <w:spacing w:line="360" w:lineRule="auto"/>
              <w:jc w:val="center"/>
              <w:rPr>
                <w:rFonts w:cs="仿宋" w:asciiTheme="majorEastAsia" w:hAnsiTheme="majorEastAsia" w:eastAsiaTheme="majorEastAsia"/>
                <w:kern w:val="0"/>
                <w:sz w:val="24"/>
                <w:szCs w:val="24"/>
              </w:rPr>
            </w:pPr>
            <w:r>
              <w:rPr>
                <w:rFonts w:hint="eastAsia" w:cs="仿宋" w:asciiTheme="majorEastAsia" w:hAnsiTheme="majorEastAsia" w:eastAsiaTheme="majorEastAsia"/>
                <w:sz w:val="24"/>
                <w:szCs w:val="24"/>
              </w:rPr>
              <w:t>营养风险筛查</w:t>
            </w: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NRS2002</w:t>
            </w:r>
          </w:p>
        </w:tc>
        <w:tc>
          <w:tcPr>
            <w:tcW w:w="5415" w:type="dxa"/>
            <w:vAlign w:val="center"/>
          </w:tcPr>
          <w:p>
            <w:pPr>
              <w:numPr>
                <w:ilvl w:val="0"/>
                <w:numId w:val="2"/>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适用于成人的筛查方法+评估记录</w:t>
            </w:r>
            <w:r>
              <w:rPr>
                <w:rFonts w:cs="仿宋" w:asciiTheme="majorEastAsia" w:hAnsiTheme="majorEastAsia" w:eastAsiaTheme="maj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continue"/>
          </w:tcPr>
          <w:p>
            <w:pPr>
              <w:spacing w:line="360" w:lineRule="auto"/>
              <w:jc w:val="left"/>
              <w:rPr>
                <w:rFonts w:cs="仿宋" w:asciiTheme="majorEastAsia" w:hAnsiTheme="majorEastAsia" w:eastAsiaTheme="majorEastAsia"/>
                <w:kern w:val="0"/>
                <w:sz w:val="24"/>
                <w:szCs w:val="24"/>
              </w:rPr>
            </w:pP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SGA</w:t>
            </w:r>
          </w:p>
        </w:tc>
        <w:tc>
          <w:tcPr>
            <w:tcW w:w="5415" w:type="dxa"/>
            <w:vAlign w:val="center"/>
          </w:tcPr>
          <w:p>
            <w:pPr>
              <w:numPr>
                <w:ilvl w:val="0"/>
                <w:numId w:val="2"/>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患者主观营养状况评估+评估记录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continue"/>
          </w:tcPr>
          <w:p>
            <w:pPr>
              <w:spacing w:line="360" w:lineRule="auto"/>
              <w:jc w:val="left"/>
              <w:rPr>
                <w:rFonts w:cs="仿宋" w:asciiTheme="majorEastAsia" w:hAnsiTheme="majorEastAsia" w:eastAsiaTheme="majorEastAsia"/>
                <w:kern w:val="0"/>
                <w:sz w:val="24"/>
                <w:szCs w:val="24"/>
              </w:rPr>
            </w:pP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PG-SGA</w:t>
            </w:r>
          </w:p>
        </w:tc>
        <w:tc>
          <w:tcPr>
            <w:tcW w:w="5415" w:type="dxa"/>
            <w:vAlign w:val="center"/>
          </w:tcPr>
          <w:p>
            <w:pPr>
              <w:numPr>
                <w:ilvl w:val="0"/>
                <w:numId w:val="3"/>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适用于肿瘤患者的主观营养评估+评估记录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continue"/>
          </w:tcPr>
          <w:p>
            <w:pPr>
              <w:spacing w:line="360" w:lineRule="auto"/>
              <w:jc w:val="left"/>
              <w:rPr>
                <w:rFonts w:cs="仿宋" w:asciiTheme="majorEastAsia" w:hAnsiTheme="majorEastAsia" w:eastAsiaTheme="majorEastAsia"/>
                <w:kern w:val="0"/>
                <w:sz w:val="24"/>
                <w:szCs w:val="24"/>
              </w:rPr>
            </w:pP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MNA</w:t>
            </w:r>
          </w:p>
        </w:tc>
        <w:tc>
          <w:tcPr>
            <w:tcW w:w="5415" w:type="dxa"/>
            <w:vAlign w:val="center"/>
          </w:tcPr>
          <w:p>
            <w:pPr>
              <w:numPr>
                <w:ilvl w:val="0"/>
                <w:numId w:val="3"/>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用于老年人的微型营养评估+评估记录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continue"/>
          </w:tcPr>
          <w:p>
            <w:pPr>
              <w:spacing w:line="360" w:lineRule="auto"/>
              <w:jc w:val="left"/>
              <w:rPr>
                <w:rFonts w:cs="仿宋" w:asciiTheme="majorEastAsia" w:hAnsiTheme="majorEastAsia" w:eastAsiaTheme="majorEastAsia"/>
                <w:kern w:val="0"/>
                <w:sz w:val="24"/>
                <w:szCs w:val="24"/>
              </w:rPr>
            </w:pP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MUST</w:t>
            </w:r>
          </w:p>
        </w:tc>
        <w:tc>
          <w:tcPr>
            <w:tcW w:w="5415" w:type="dxa"/>
            <w:vAlign w:val="center"/>
          </w:tcPr>
          <w:p>
            <w:pPr>
              <w:numPr>
                <w:ilvl w:val="0"/>
                <w:numId w:val="3"/>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营养不良通用型筛查工具+评估记录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restart"/>
            <w:vAlign w:val="center"/>
          </w:tcPr>
          <w:p>
            <w:pPr>
              <w:spacing w:line="360" w:lineRule="auto"/>
              <w:jc w:val="center"/>
              <w:rPr>
                <w:rFonts w:cs="仿宋" w:asciiTheme="majorEastAsia" w:hAnsiTheme="majorEastAsia" w:eastAsiaTheme="majorEastAsia"/>
                <w:kern w:val="0"/>
                <w:sz w:val="24"/>
                <w:szCs w:val="24"/>
              </w:rPr>
            </w:pPr>
            <w:r>
              <w:rPr>
                <w:rFonts w:hint="eastAsia" w:cs="仿宋" w:asciiTheme="majorEastAsia" w:hAnsiTheme="majorEastAsia" w:eastAsiaTheme="majorEastAsia"/>
                <w:sz w:val="24"/>
                <w:szCs w:val="24"/>
              </w:rPr>
              <w:t>营养评估</w:t>
            </w: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▲体格检查</w:t>
            </w:r>
          </w:p>
        </w:tc>
        <w:tc>
          <w:tcPr>
            <w:tcW w:w="5415" w:type="dxa"/>
            <w:vAlign w:val="center"/>
          </w:tcPr>
          <w:p>
            <w:pPr>
              <w:numPr>
                <w:ilvl w:val="0"/>
                <w:numId w:val="3"/>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支持常规体格检查结果录入；</w:t>
            </w:r>
          </w:p>
          <w:p>
            <w:pPr>
              <w:numPr>
                <w:ilvl w:val="0"/>
                <w:numId w:val="3"/>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支持查看体格检查记录以及删除体格检查记录；</w:t>
            </w:r>
          </w:p>
          <w:p>
            <w:pPr>
              <w:numPr>
                <w:ilvl w:val="0"/>
                <w:numId w:val="3"/>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支持自动生成孕妇体重增长曲线图；</w:t>
            </w:r>
          </w:p>
          <w:p>
            <w:pPr>
              <w:numPr>
                <w:ilvl w:val="0"/>
                <w:numId w:val="3"/>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支持自动生成儿童生长发育曲线图；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continue"/>
          </w:tcPr>
          <w:p>
            <w:pPr>
              <w:spacing w:line="360" w:lineRule="auto"/>
              <w:jc w:val="left"/>
              <w:rPr>
                <w:rFonts w:cs="仿宋" w:asciiTheme="majorEastAsia" w:hAnsiTheme="majorEastAsia" w:eastAsiaTheme="majorEastAsia"/>
                <w:kern w:val="0"/>
                <w:sz w:val="24"/>
                <w:szCs w:val="24"/>
              </w:rPr>
            </w:pP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营养缺乏体征评估</w:t>
            </w:r>
          </w:p>
        </w:tc>
        <w:tc>
          <w:tcPr>
            <w:tcW w:w="5415" w:type="dxa"/>
            <w:vAlign w:val="center"/>
          </w:tcPr>
          <w:p>
            <w:pPr>
              <w:numPr>
                <w:ilvl w:val="0"/>
                <w:numId w:val="4"/>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支持根据症状对应可能缺乏的营养素选择；</w:t>
            </w:r>
          </w:p>
          <w:p>
            <w:pPr>
              <w:numPr>
                <w:ilvl w:val="0"/>
                <w:numId w:val="4"/>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支持生成营养缺乏体征评价报告。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continue"/>
          </w:tcPr>
          <w:p>
            <w:pPr>
              <w:spacing w:line="360" w:lineRule="auto"/>
              <w:jc w:val="left"/>
              <w:rPr>
                <w:rFonts w:cs="仿宋" w:asciiTheme="majorEastAsia" w:hAnsiTheme="majorEastAsia" w:eastAsiaTheme="majorEastAsia"/>
                <w:kern w:val="0"/>
                <w:sz w:val="24"/>
                <w:szCs w:val="24"/>
              </w:rPr>
            </w:pP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膳食调查</w:t>
            </w:r>
          </w:p>
        </w:tc>
        <w:tc>
          <w:tcPr>
            <w:tcW w:w="5415" w:type="dxa"/>
            <w:vAlign w:val="center"/>
          </w:tcPr>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采用国内最新食物库成分表(2009、2018年)，并支持后台添加食物；</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计算一种、多种食物不同重量、市品（非市品）的营养素含量；</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计算菜谱营养素含量(含油、盐等调味品)。</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计算一日、多日营养素摄入量；</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提供两种膳食调查方法：精确法、频度法，供用户需要进行选择；</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提供多种食谱或菜谱录入方式：助记码检索(拼音首字母)、汉字模糊检索、类别查找等。</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录入一日或多日食谱，自动生成分析报表，内容丰富，并且可以根据需求选择打印；</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支持菜谱库功能；</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支持食谱复制功能；</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支持查看膳食调查记录和删除；</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支持显示能量来源,蛋白质来源，脂肪来源，脂肪酸来源。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continue"/>
          </w:tcPr>
          <w:p>
            <w:pPr>
              <w:spacing w:line="360" w:lineRule="auto"/>
              <w:jc w:val="left"/>
              <w:rPr>
                <w:rFonts w:cs="仿宋" w:asciiTheme="majorEastAsia" w:hAnsiTheme="majorEastAsia" w:eastAsiaTheme="majorEastAsia"/>
                <w:kern w:val="0"/>
                <w:sz w:val="24"/>
                <w:szCs w:val="24"/>
              </w:rPr>
            </w:pP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生化评估</w:t>
            </w:r>
          </w:p>
        </w:tc>
        <w:tc>
          <w:tcPr>
            <w:tcW w:w="5415" w:type="dxa"/>
            <w:vAlign w:val="center"/>
          </w:tcPr>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支持手动录入生化评估指标；</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支持对接LIS系统获取患者门诊生化数据。</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支持设定生化指标正常值区间。</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支持查看生化评估记录以及删除生化评估记录；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continue"/>
          </w:tcPr>
          <w:p>
            <w:pPr>
              <w:spacing w:line="360" w:lineRule="auto"/>
              <w:jc w:val="left"/>
              <w:rPr>
                <w:rFonts w:cs="仿宋" w:asciiTheme="majorEastAsia" w:hAnsiTheme="majorEastAsia" w:eastAsiaTheme="majorEastAsia"/>
                <w:kern w:val="0"/>
                <w:sz w:val="24"/>
                <w:szCs w:val="24"/>
              </w:rPr>
            </w:pP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能量消耗调查</w:t>
            </w:r>
          </w:p>
        </w:tc>
        <w:tc>
          <w:tcPr>
            <w:tcW w:w="5415" w:type="dxa"/>
            <w:vAlign w:val="center"/>
          </w:tcPr>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支持录入全天活动所消耗的能量；</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支持自动计算活动消耗能量。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continue"/>
          </w:tcPr>
          <w:p>
            <w:pPr>
              <w:spacing w:line="360" w:lineRule="auto"/>
              <w:jc w:val="left"/>
              <w:rPr>
                <w:rFonts w:cs="仿宋" w:asciiTheme="majorEastAsia" w:hAnsiTheme="majorEastAsia" w:eastAsiaTheme="majorEastAsia"/>
                <w:kern w:val="0"/>
                <w:sz w:val="24"/>
                <w:szCs w:val="24"/>
              </w:rPr>
            </w:pP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运动处方</w:t>
            </w:r>
          </w:p>
        </w:tc>
        <w:tc>
          <w:tcPr>
            <w:tcW w:w="5415" w:type="dxa"/>
            <w:vAlign w:val="center"/>
          </w:tcPr>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运用MET当量原理，输入运动类别及时间，自动统计能量消耗千卡数和活动当量；</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运动处方：设定每月减肥重量，系统自动计算膳食和能量需减少千卡数。选择相应运动项目，系统自动计算完成目标每日所需的运动时间，其中膳食减少千卡数可以与食谱制定和膳食调查模块关联；</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运动管理数据库，后台可以维护；</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支持生成运动管理报告。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restart"/>
            <w:vAlign w:val="center"/>
          </w:tcPr>
          <w:p>
            <w:pPr>
              <w:spacing w:line="360" w:lineRule="auto"/>
              <w:jc w:val="center"/>
              <w:rPr>
                <w:rFonts w:cs="仿宋" w:asciiTheme="majorEastAsia" w:hAnsiTheme="majorEastAsia" w:eastAsiaTheme="majorEastAsia"/>
                <w:kern w:val="0"/>
                <w:sz w:val="24"/>
                <w:szCs w:val="24"/>
              </w:rPr>
            </w:pPr>
            <w:r>
              <w:rPr>
                <w:rFonts w:hint="eastAsia" w:cs="仿宋" w:asciiTheme="majorEastAsia" w:hAnsiTheme="majorEastAsia" w:eastAsiaTheme="majorEastAsia"/>
                <w:sz w:val="24"/>
                <w:szCs w:val="24"/>
              </w:rPr>
              <w:t>营养干预</w:t>
            </w: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营养素设置</w:t>
            </w:r>
          </w:p>
        </w:tc>
        <w:tc>
          <w:tcPr>
            <w:tcW w:w="5415" w:type="dxa"/>
            <w:vAlign w:val="center"/>
          </w:tcPr>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支持系统自动产生全营养素推荐量功能；</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支持手动修改营养素推荐值功能；</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支持查看营养素设置历史记录以及删除历史记录。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continue"/>
          </w:tcPr>
          <w:p>
            <w:pPr>
              <w:spacing w:line="360" w:lineRule="auto"/>
              <w:jc w:val="left"/>
              <w:rPr>
                <w:rFonts w:cs="仿宋" w:asciiTheme="majorEastAsia" w:hAnsiTheme="majorEastAsia" w:eastAsiaTheme="majorEastAsia"/>
                <w:kern w:val="0"/>
                <w:sz w:val="24"/>
                <w:szCs w:val="24"/>
              </w:rPr>
            </w:pP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营养处方</w:t>
            </w:r>
          </w:p>
        </w:tc>
        <w:tc>
          <w:tcPr>
            <w:tcW w:w="5415" w:type="dxa"/>
            <w:vAlign w:val="center"/>
          </w:tcPr>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支持选择肠内肠外营养制剂，输入使用数量等信息，生成患者的个性化营养处方；</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支持营养处方打印功能；</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支持营养素计算功能。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continue"/>
          </w:tcPr>
          <w:p>
            <w:pPr>
              <w:spacing w:line="360" w:lineRule="auto"/>
              <w:jc w:val="left"/>
              <w:rPr>
                <w:rFonts w:cs="仿宋" w:asciiTheme="majorEastAsia" w:hAnsiTheme="majorEastAsia" w:eastAsiaTheme="majorEastAsia"/>
                <w:kern w:val="0"/>
                <w:sz w:val="24"/>
                <w:szCs w:val="24"/>
              </w:rPr>
            </w:pP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▲营养建议</w:t>
            </w:r>
          </w:p>
        </w:tc>
        <w:tc>
          <w:tcPr>
            <w:tcW w:w="5415" w:type="dxa"/>
            <w:vAlign w:val="center"/>
          </w:tcPr>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提供不同疾病营养建议模版，可编辑修改；</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支持建立个性化营养建议模版，方便调用；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continue"/>
          </w:tcPr>
          <w:p>
            <w:pPr>
              <w:spacing w:line="360" w:lineRule="auto"/>
              <w:jc w:val="left"/>
              <w:rPr>
                <w:rFonts w:cs="仿宋" w:asciiTheme="majorEastAsia" w:hAnsiTheme="majorEastAsia" w:eastAsiaTheme="majorEastAsia"/>
                <w:kern w:val="0"/>
                <w:sz w:val="24"/>
                <w:szCs w:val="24"/>
              </w:rPr>
            </w:pP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▲食疗方管理</w:t>
            </w:r>
          </w:p>
        </w:tc>
        <w:tc>
          <w:tcPr>
            <w:tcW w:w="5415" w:type="dxa"/>
            <w:vAlign w:val="center"/>
          </w:tcPr>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支持不同疾病经典中医药食疗方；</w:t>
            </w:r>
          </w:p>
          <w:p>
            <w:pPr>
              <w:numPr>
                <w:ilvl w:val="0"/>
                <w:numId w:val="5"/>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支持食疗方修改、添加及打印功能。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Merge w:val="continue"/>
          </w:tcPr>
          <w:p>
            <w:pPr>
              <w:spacing w:line="360" w:lineRule="auto"/>
              <w:jc w:val="left"/>
              <w:rPr>
                <w:rFonts w:cs="仿宋" w:asciiTheme="majorEastAsia" w:hAnsiTheme="majorEastAsia" w:eastAsiaTheme="majorEastAsia"/>
                <w:kern w:val="0"/>
                <w:sz w:val="24"/>
                <w:szCs w:val="24"/>
              </w:rPr>
            </w:pP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食谱制定</w:t>
            </w:r>
          </w:p>
        </w:tc>
        <w:tc>
          <w:tcPr>
            <w:tcW w:w="5415" w:type="dxa"/>
            <w:vAlign w:val="center"/>
          </w:tcPr>
          <w:p>
            <w:pPr>
              <w:numPr>
                <w:ilvl w:val="0"/>
                <w:numId w:val="6"/>
              </w:numPr>
              <w:spacing w:line="360" w:lineRule="auto"/>
              <w:jc w:val="left"/>
              <w:rPr>
                <w:rFonts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提供两种食谱制定方法：精确法、交换份法，供用户需要选择；</w:t>
            </w:r>
          </w:p>
          <w:p>
            <w:pPr>
              <w:numPr>
                <w:ilvl w:val="0"/>
                <w:numId w:val="6"/>
              </w:numPr>
              <w:spacing w:line="360" w:lineRule="auto"/>
              <w:jc w:val="left"/>
              <w:rPr>
                <w:rFonts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提供多种食谱或菜谱录入方式，包括助记码检索(拼音首字母)、汉字模糊检索、类别查找等；</w:t>
            </w:r>
          </w:p>
          <w:p>
            <w:pPr>
              <w:numPr>
                <w:ilvl w:val="0"/>
                <w:numId w:val="6"/>
              </w:numPr>
              <w:spacing w:line="360" w:lineRule="auto"/>
              <w:jc w:val="left"/>
              <w:rPr>
                <w:rFonts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经典食谱库(系统后台可自定义模板)直接选择导入经典食谱，并能根据不同情况修改；</w:t>
            </w:r>
          </w:p>
          <w:p>
            <w:pPr>
              <w:numPr>
                <w:ilvl w:val="0"/>
                <w:numId w:val="6"/>
              </w:numPr>
              <w:spacing w:line="360" w:lineRule="auto"/>
              <w:jc w:val="left"/>
              <w:rPr>
                <w:rFonts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系统根据个体摄入量要求自动生成合理食谱，并能根据不同情况修改；</w:t>
            </w:r>
          </w:p>
          <w:p>
            <w:pPr>
              <w:numPr>
                <w:ilvl w:val="0"/>
                <w:numId w:val="6"/>
              </w:numPr>
              <w:spacing w:line="360" w:lineRule="auto"/>
              <w:jc w:val="left"/>
              <w:rPr>
                <w:rFonts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手动录入食谱，自行编辑食谱内容；</w:t>
            </w:r>
          </w:p>
          <w:p>
            <w:pPr>
              <w:numPr>
                <w:ilvl w:val="0"/>
                <w:numId w:val="6"/>
              </w:numPr>
              <w:spacing w:line="360" w:lineRule="auto"/>
              <w:jc w:val="left"/>
              <w:rPr>
                <w:rFonts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用户可以通过菜谱制作功能自定义录入菜谱；</w:t>
            </w:r>
          </w:p>
          <w:p>
            <w:pPr>
              <w:numPr>
                <w:ilvl w:val="0"/>
                <w:numId w:val="6"/>
              </w:numPr>
              <w:spacing w:line="360" w:lineRule="auto"/>
              <w:jc w:val="left"/>
              <w:rPr>
                <w:rFonts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对每个食谱均可以进行直观的评价，生成食谱营养分析报告；</w:t>
            </w:r>
          </w:p>
          <w:p>
            <w:pPr>
              <w:numPr>
                <w:ilvl w:val="0"/>
                <w:numId w:val="6"/>
              </w:numPr>
              <w:spacing w:line="360" w:lineRule="auto"/>
              <w:jc w:val="left"/>
              <w:rPr>
                <w:rFonts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支持根据疾病类型，自动生成推荐食谱并可修改保存；</w:t>
            </w:r>
          </w:p>
          <w:p>
            <w:pPr>
              <w:numPr>
                <w:ilvl w:val="0"/>
                <w:numId w:val="6"/>
              </w:numPr>
              <w:spacing w:line="360" w:lineRule="auto"/>
              <w:jc w:val="left"/>
              <w:rPr>
                <w:rFonts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支持一周食谱导出功能；</w:t>
            </w:r>
          </w:p>
          <w:p>
            <w:pPr>
              <w:numPr>
                <w:ilvl w:val="0"/>
                <w:numId w:val="6"/>
              </w:numPr>
              <w:spacing w:line="360" w:lineRule="auto"/>
              <w:jc w:val="left"/>
              <w:rPr>
                <w:rFonts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支持分类选择食物；</w:t>
            </w:r>
          </w:p>
          <w:p>
            <w:pPr>
              <w:numPr>
                <w:ilvl w:val="0"/>
                <w:numId w:val="6"/>
              </w:numPr>
              <w:spacing w:line="360" w:lineRule="auto"/>
              <w:jc w:val="left"/>
              <w:rPr>
                <w:rFonts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支持食谱复制功能；</w:t>
            </w:r>
          </w:p>
          <w:p>
            <w:pPr>
              <w:numPr>
                <w:ilvl w:val="0"/>
                <w:numId w:val="6"/>
              </w:numPr>
              <w:spacing w:line="360" w:lineRule="auto"/>
              <w:jc w:val="left"/>
              <w:rPr>
                <w:rFonts w:cs="仿宋" w:asciiTheme="majorEastAsia" w:hAnsiTheme="majorEastAsia" w:eastAsiaTheme="majorEastAsia"/>
                <w:kern w:val="0"/>
                <w:sz w:val="24"/>
                <w:szCs w:val="24"/>
              </w:rPr>
            </w:pPr>
            <w:r>
              <w:rPr>
                <w:rFonts w:hint="eastAsia" w:cs="仿宋" w:asciiTheme="majorEastAsia" w:hAnsiTheme="majorEastAsia" w:eastAsiaTheme="majorEastAsia"/>
                <w:kern w:val="0"/>
                <w:sz w:val="24"/>
                <w:szCs w:val="24"/>
              </w:rPr>
              <w:t>支持查看食谱的营养素分析，包括：食谱清单，食物分类，营养素，能量来源，蛋白质来源，脂肪，脂肪酸，餐次详情，钙，镁，铁，以及定性分析；</w:t>
            </w:r>
          </w:p>
          <w:p>
            <w:pPr>
              <w:numPr>
                <w:ilvl w:val="0"/>
                <w:numId w:val="6"/>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kern w:val="0"/>
                <w:sz w:val="24"/>
                <w:szCs w:val="24"/>
              </w:rPr>
              <w:t>支持打印食谱清单功能。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营养监测</w:t>
            </w: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营养监测</w:t>
            </w:r>
          </w:p>
        </w:tc>
        <w:tc>
          <w:tcPr>
            <w:tcW w:w="5415" w:type="dxa"/>
            <w:vAlign w:val="center"/>
          </w:tcPr>
          <w:p>
            <w:pPr>
              <w:numPr>
                <w:ilvl w:val="0"/>
                <w:numId w:val="7"/>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支持自由配置身高、体重、BMI指标变化监测功能；</w:t>
            </w:r>
          </w:p>
          <w:p>
            <w:pPr>
              <w:numPr>
                <w:ilvl w:val="0"/>
                <w:numId w:val="7"/>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支持生成监测曲线图功能；</w:t>
            </w:r>
          </w:p>
          <w:p>
            <w:pPr>
              <w:numPr>
                <w:ilvl w:val="0"/>
                <w:numId w:val="7"/>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支持打印与导出监测曲线图功能。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查询统计</w:t>
            </w: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查询统计</w:t>
            </w:r>
          </w:p>
        </w:tc>
        <w:tc>
          <w:tcPr>
            <w:tcW w:w="5415" w:type="dxa"/>
            <w:vAlign w:val="center"/>
          </w:tcPr>
          <w:p>
            <w:pPr>
              <w:numPr>
                <w:ilvl w:val="0"/>
                <w:numId w:val="8"/>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支持门诊患者历次档案查询；</w:t>
            </w:r>
          </w:p>
          <w:p>
            <w:pPr>
              <w:numPr>
                <w:ilvl w:val="0"/>
                <w:numId w:val="8"/>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支持体格评估记录查询；</w:t>
            </w:r>
          </w:p>
          <w:p>
            <w:pPr>
              <w:numPr>
                <w:ilvl w:val="0"/>
                <w:numId w:val="8"/>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支持生化评估记录查询；</w:t>
            </w:r>
          </w:p>
          <w:p>
            <w:pPr>
              <w:numPr>
                <w:ilvl w:val="0"/>
                <w:numId w:val="8"/>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支持体征评估记录查询；</w:t>
            </w:r>
          </w:p>
          <w:p>
            <w:pPr>
              <w:numPr>
                <w:ilvl w:val="0"/>
                <w:numId w:val="8"/>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支持膳食评估记录查询；</w:t>
            </w:r>
          </w:p>
          <w:p>
            <w:pPr>
              <w:numPr>
                <w:ilvl w:val="0"/>
                <w:numId w:val="8"/>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支持食谱制定记录查询</w:t>
            </w:r>
          </w:p>
          <w:p>
            <w:pPr>
              <w:numPr>
                <w:ilvl w:val="0"/>
                <w:numId w:val="8"/>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支持打印与导出。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综合打印</w:t>
            </w: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▲综合打印</w:t>
            </w:r>
          </w:p>
        </w:tc>
        <w:tc>
          <w:tcPr>
            <w:tcW w:w="5415" w:type="dxa"/>
            <w:vAlign w:val="center"/>
          </w:tcPr>
          <w:p>
            <w:pPr>
              <w:numPr>
                <w:ilvl w:val="0"/>
                <w:numId w:val="9"/>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支持生成简易报告和完整报告功能；</w:t>
            </w:r>
          </w:p>
          <w:p>
            <w:pPr>
              <w:numPr>
                <w:ilvl w:val="0"/>
                <w:numId w:val="9"/>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支持知识库功能：附加打印含铁丰富、含锌丰富、低嘌呤、低GI值食物等内容；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后台设置</w:t>
            </w: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后台设置</w:t>
            </w:r>
          </w:p>
        </w:tc>
        <w:tc>
          <w:tcPr>
            <w:tcW w:w="5415" w:type="dxa"/>
            <w:vAlign w:val="center"/>
          </w:tcPr>
          <w:p>
            <w:pPr>
              <w:numPr>
                <w:ilvl w:val="0"/>
                <w:numId w:val="10"/>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支持用户列表及个人信息修改功能；</w:t>
            </w:r>
          </w:p>
          <w:p>
            <w:pPr>
              <w:numPr>
                <w:ilvl w:val="0"/>
                <w:numId w:val="10"/>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支持疾病类型后台添加、删除功能；</w:t>
            </w:r>
          </w:p>
          <w:p>
            <w:pPr>
              <w:numPr>
                <w:ilvl w:val="0"/>
                <w:numId w:val="10"/>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支持后台手动添加食物及菜谱功能；</w:t>
            </w:r>
          </w:p>
          <w:p>
            <w:pPr>
              <w:numPr>
                <w:ilvl w:val="0"/>
                <w:numId w:val="10"/>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支持单位信息修改功能。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接口管理</w:t>
            </w:r>
          </w:p>
        </w:tc>
        <w:tc>
          <w:tcPr>
            <w:tcW w:w="1857"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接口管理</w:t>
            </w:r>
          </w:p>
        </w:tc>
        <w:tc>
          <w:tcPr>
            <w:tcW w:w="5415" w:type="dxa"/>
            <w:vAlign w:val="center"/>
          </w:tcPr>
          <w:p>
            <w:pPr>
              <w:numPr>
                <w:ilvl w:val="0"/>
                <w:numId w:val="2"/>
              </w:numPr>
              <w:spacing w:line="360" w:lineRule="auto"/>
              <w:jc w:val="left"/>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支持与院内HIS、LIS系统对接功能。</w:t>
            </w:r>
          </w:p>
        </w:tc>
      </w:tr>
    </w:tbl>
    <w:p>
      <w:pPr>
        <w:spacing w:line="360" w:lineRule="auto"/>
        <w:rPr>
          <w:rFonts w:asciiTheme="majorEastAsia" w:hAnsiTheme="majorEastAsia" w:eastAsiaTheme="majorEastAsia"/>
          <w:sz w:val="24"/>
          <w:szCs w:val="24"/>
        </w:rPr>
      </w:pPr>
    </w:p>
    <w:p>
      <w:pPr>
        <w:widowControl/>
        <w:spacing w:line="360" w:lineRule="auto"/>
        <w:jc w:val="left"/>
        <w:rPr>
          <w:rFonts w:asciiTheme="majorEastAsia" w:hAnsiTheme="majorEastAsia" w:eastAsiaTheme="majorEastAsia"/>
          <w:sz w:val="24"/>
          <w:szCs w:val="24"/>
        </w:rPr>
      </w:pPr>
      <w:r>
        <w:rPr>
          <w:rFonts w:hint="eastAsia" w:asciiTheme="majorEastAsia" w:hAnsiTheme="majorEastAsia" w:eastAsiaTheme="majorEastAsia"/>
          <w:sz w:val="24"/>
          <w:szCs w:val="24"/>
        </w:rPr>
        <w:t>2、住院营养管理系统模块功能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0"/>
        <w:gridCol w:w="1613"/>
        <w:gridCol w:w="5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89"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一级模块</w:t>
            </w:r>
          </w:p>
        </w:tc>
        <w:tc>
          <w:tcPr>
            <w:tcW w:w="1732" w:type="dxa"/>
            <w:vAlign w:val="center"/>
          </w:tcPr>
          <w:p>
            <w:pPr>
              <w:spacing w:line="360" w:lineRule="auto"/>
              <w:jc w:val="center"/>
              <w:textAlignment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二级模块</w:t>
            </w:r>
          </w:p>
        </w:tc>
        <w:tc>
          <w:tcPr>
            <w:tcW w:w="6274" w:type="dxa"/>
            <w:vAlign w:val="center"/>
          </w:tcPr>
          <w:p>
            <w:pPr>
              <w:spacing w:line="360" w:lineRule="auto"/>
              <w:jc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功能明细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vMerge w:val="restart"/>
            <w:vAlign w:val="center"/>
          </w:tcPr>
          <w:p>
            <w:pPr>
              <w:spacing w:line="360" w:lineRule="auto"/>
              <w:jc w:val="center"/>
              <w:rPr>
                <w:rFonts w:cs="仿宋" w:asciiTheme="majorEastAsia" w:hAnsiTheme="majorEastAsia" w:eastAsiaTheme="majorEastAsia"/>
                <w:kern w:val="0"/>
                <w:sz w:val="24"/>
                <w:szCs w:val="24"/>
              </w:rPr>
            </w:pPr>
            <w:bookmarkStart w:id="0" w:name="_Toc35968072"/>
            <w:r>
              <w:rPr>
                <w:rFonts w:hint="eastAsia" w:cs="仿宋" w:asciiTheme="majorEastAsia" w:hAnsiTheme="majorEastAsia" w:eastAsiaTheme="majorEastAsia"/>
                <w:sz w:val="24"/>
                <w:szCs w:val="24"/>
              </w:rPr>
              <w:t>住院患者管理</w:t>
            </w:r>
            <w:bookmarkEnd w:id="0"/>
          </w:p>
        </w:tc>
        <w:tc>
          <w:tcPr>
            <w:tcW w:w="1732" w:type="dxa"/>
            <w:vAlign w:val="center"/>
          </w:tcPr>
          <w:p>
            <w:pPr>
              <w:pStyle w:val="2"/>
              <w:spacing w:before="0" w:after="0" w:line="360" w:lineRule="auto"/>
              <w:ind w:left="576" w:hanging="576"/>
              <w:jc w:val="center"/>
              <w:rPr>
                <w:rFonts w:cs="仿宋" w:asciiTheme="majorEastAsia" w:hAnsiTheme="majorEastAsia" w:eastAsiaTheme="majorEastAsia"/>
                <w:b w:val="0"/>
                <w:sz w:val="24"/>
                <w:szCs w:val="24"/>
              </w:rPr>
            </w:pPr>
            <w:bookmarkStart w:id="1" w:name="_Toc35968073"/>
            <w:r>
              <w:rPr>
                <w:rFonts w:hint="eastAsia" w:cs="仿宋" w:asciiTheme="majorEastAsia" w:hAnsiTheme="majorEastAsia" w:eastAsiaTheme="majorEastAsia"/>
                <w:b w:val="0"/>
                <w:sz w:val="24"/>
                <w:szCs w:val="24"/>
              </w:rPr>
              <w:t>在院患者</w:t>
            </w:r>
            <w:bookmarkEnd w:id="1"/>
          </w:p>
        </w:tc>
        <w:tc>
          <w:tcPr>
            <w:tcW w:w="6274" w:type="dxa"/>
          </w:tcPr>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支持查看全院在院患者信息，包括：入院时间、科室、床号、姓名、住院号、饮食医嘱、疾病诊断；</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支持根据住院号、姓名、入院时间、科室、病区查询特定患者。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vMerge w:val="continue"/>
          </w:tcPr>
          <w:p>
            <w:pPr>
              <w:spacing w:line="360" w:lineRule="auto"/>
              <w:rPr>
                <w:rFonts w:cs="仿宋" w:asciiTheme="majorEastAsia" w:hAnsiTheme="majorEastAsia" w:eastAsiaTheme="majorEastAsia"/>
                <w:kern w:val="0"/>
                <w:sz w:val="24"/>
                <w:szCs w:val="24"/>
              </w:rPr>
            </w:pPr>
          </w:p>
        </w:tc>
        <w:tc>
          <w:tcPr>
            <w:tcW w:w="1732" w:type="dxa"/>
            <w:vAlign w:val="center"/>
          </w:tcPr>
          <w:p>
            <w:pPr>
              <w:spacing w:line="360" w:lineRule="auto"/>
              <w:jc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营养会诊患者</w:t>
            </w:r>
          </w:p>
        </w:tc>
        <w:tc>
          <w:tcPr>
            <w:tcW w:w="6274" w:type="dxa"/>
          </w:tcPr>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支持读取营养会诊指令，列出所有需要会诊的患者清单；营养（医）师可填写会诊意见。会诊意见可反馈给临床医生，供其调阅。</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支持根据住院号、姓名、会诊申请时间查询会诊患者，查看会诊状态及会诊报告。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vMerge w:val="continue"/>
          </w:tcPr>
          <w:p>
            <w:pPr>
              <w:spacing w:line="360" w:lineRule="auto"/>
              <w:rPr>
                <w:rFonts w:cs="仿宋" w:asciiTheme="majorEastAsia" w:hAnsiTheme="majorEastAsia" w:eastAsiaTheme="majorEastAsia"/>
                <w:kern w:val="0"/>
                <w:sz w:val="24"/>
                <w:szCs w:val="24"/>
              </w:rPr>
            </w:pPr>
          </w:p>
        </w:tc>
        <w:tc>
          <w:tcPr>
            <w:tcW w:w="1732" w:type="dxa"/>
            <w:vAlign w:val="center"/>
          </w:tcPr>
          <w:p>
            <w:pPr>
              <w:spacing w:line="360" w:lineRule="auto"/>
              <w:jc w:val="center"/>
              <w:rPr>
                <w:rFonts w:cs="仿宋" w:asciiTheme="majorEastAsia" w:hAnsiTheme="majorEastAsia" w:eastAsiaTheme="majorEastAsia"/>
                <w:sz w:val="24"/>
                <w:szCs w:val="24"/>
              </w:rPr>
            </w:pPr>
            <w:bookmarkStart w:id="2" w:name="_Toc35968075"/>
            <w:r>
              <w:rPr>
                <w:rFonts w:hint="eastAsia" w:cs="仿宋" w:asciiTheme="majorEastAsia" w:hAnsiTheme="majorEastAsia" w:eastAsiaTheme="majorEastAsia"/>
                <w:sz w:val="24"/>
                <w:szCs w:val="24"/>
              </w:rPr>
              <w:t>营养风险筛查患者</w:t>
            </w:r>
            <w:bookmarkEnd w:id="2"/>
          </w:p>
        </w:tc>
        <w:tc>
          <w:tcPr>
            <w:tcW w:w="6274" w:type="dxa"/>
          </w:tcPr>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支持列出所有做过营养风险筛查的患者列表；可查看患者信息，包括：住院号、姓名、性别、科室、病区、床号、入院时间、筛查时间、筛查得分等；</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支持根据住院号、姓名、筛查时间、科室、病区及有/无营养风险来查询特定患者。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vMerge w:val="restart"/>
            <w:vAlign w:val="center"/>
          </w:tcPr>
          <w:p>
            <w:pPr>
              <w:spacing w:line="360" w:lineRule="auto"/>
              <w:rPr>
                <w:rFonts w:cs="仿宋" w:asciiTheme="majorEastAsia" w:hAnsiTheme="majorEastAsia" w:eastAsiaTheme="majorEastAsia"/>
                <w:kern w:val="0"/>
                <w:sz w:val="24"/>
                <w:szCs w:val="24"/>
              </w:rPr>
            </w:pPr>
            <w:r>
              <w:rPr>
                <w:rFonts w:hint="eastAsia" w:cs="仿宋" w:asciiTheme="majorEastAsia" w:hAnsiTheme="majorEastAsia" w:eastAsiaTheme="majorEastAsia"/>
                <w:sz w:val="24"/>
                <w:szCs w:val="24"/>
              </w:rPr>
              <w:t>住院患者营养管理</w:t>
            </w:r>
          </w:p>
        </w:tc>
        <w:tc>
          <w:tcPr>
            <w:tcW w:w="1732" w:type="dxa"/>
            <w:vAlign w:val="center"/>
          </w:tcPr>
          <w:p>
            <w:pPr>
              <w:spacing w:line="360" w:lineRule="auto"/>
              <w:jc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患者档案</w:t>
            </w:r>
          </w:p>
        </w:tc>
        <w:tc>
          <w:tcPr>
            <w:tcW w:w="6274" w:type="dxa"/>
          </w:tcPr>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支持对接医院HIS系统调取患者基本信息、入院信息。</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支持对接医院EMR系统调取患者临床诊断、主诉、现病史、既往病史、家族病史等。</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支持对接院内HIS系统，查询患者在院期间的临床医嘱，包含：长期医嘱、临时医嘱。</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支持对接院内LIS系统，查询患者在院期间的生化检查检验情况。</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支持根据患者疾病将相关生化检查指标保存到本地，纳入标准营养病历内容。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vMerge w:val="continue"/>
          </w:tcPr>
          <w:p>
            <w:pPr>
              <w:spacing w:line="360" w:lineRule="auto"/>
              <w:rPr>
                <w:rFonts w:cs="仿宋" w:asciiTheme="majorEastAsia" w:hAnsiTheme="majorEastAsia" w:eastAsiaTheme="majorEastAsia"/>
                <w:kern w:val="0"/>
                <w:sz w:val="24"/>
                <w:szCs w:val="24"/>
              </w:rPr>
            </w:pPr>
          </w:p>
        </w:tc>
        <w:tc>
          <w:tcPr>
            <w:tcW w:w="1732" w:type="dxa"/>
            <w:vAlign w:val="center"/>
          </w:tcPr>
          <w:p>
            <w:pPr>
              <w:spacing w:line="360" w:lineRule="auto"/>
              <w:jc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营养风险筛查</w:t>
            </w:r>
          </w:p>
        </w:tc>
        <w:tc>
          <w:tcPr>
            <w:tcW w:w="6274" w:type="dxa"/>
          </w:tcPr>
          <w:p>
            <w:p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 支持营养风险筛查NRS2002、主观全面评定SGA、人体成分评价BCA、简易营养评估MNA、营养不良通用筛选工具MUST、肿瘤患者营养评估PG-SGA等筛查工具。</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支持患者颜色标识工作，系统自动将全院患者以不同颜色标记为未筛查患者、有营养风险患者及无营养风险患者。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vMerge w:val="continue"/>
          </w:tcPr>
          <w:p>
            <w:pPr>
              <w:spacing w:line="360" w:lineRule="auto"/>
              <w:rPr>
                <w:rFonts w:cs="仿宋" w:asciiTheme="majorEastAsia" w:hAnsiTheme="majorEastAsia" w:eastAsiaTheme="majorEastAsia"/>
                <w:kern w:val="0"/>
                <w:sz w:val="24"/>
                <w:szCs w:val="24"/>
              </w:rPr>
            </w:pPr>
          </w:p>
        </w:tc>
        <w:tc>
          <w:tcPr>
            <w:tcW w:w="1732" w:type="dxa"/>
            <w:vAlign w:val="center"/>
          </w:tcPr>
          <w:p>
            <w:pPr>
              <w:spacing w:line="360" w:lineRule="auto"/>
              <w:jc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营养评估</w:t>
            </w:r>
          </w:p>
        </w:tc>
        <w:tc>
          <w:tcPr>
            <w:tcW w:w="6274" w:type="dxa"/>
          </w:tcPr>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支持对患者进行体格测量、临床体征评估、营养摄入评估、消化道评估等方面的综合评定</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支持查看历次评估结果，评估结果可打印。</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体格测量包含：当前身高、当前体重、近期体重、理想体重、BMI、体脂百分比、体温、胸围、小腿围、腰围、臀围、腰臀比、头围、上臂围、上臂肌围、坐高、额前上脊、肩胛骨下部、腹部皮下脂肪、三头肌皮褶厚度、呼吸频率、握力、静息心率、血压。</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临床体征评估包含：意识、呼吸、体温、皮肤弹性、粘膜、水肿、胸腹水、头部毛发和五官、指甲等。</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营养膳食评估包含：简易膳食评估和24小时精确法评估。</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消化道评估包含：消化道症状评估、进食变化评估、食物过敏和不耐受、药物和食物营养、营养支持途径等。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vMerge w:val="continue"/>
          </w:tcPr>
          <w:p>
            <w:pPr>
              <w:spacing w:line="360" w:lineRule="auto"/>
              <w:rPr>
                <w:rFonts w:cs="仿宋" w:asciiTheme="majorEastAsia" w:hAnsiTheme="majorEastAsia" w:eastAsiaTheme="majorEastAsia"/>
                <w:kern w:val="0"/>
                <w:sz w:val="24"/>
                <w:szCs w:val="24"/>
              </w:rPr>
            </w:pPr>
          </w:p>
        </w:tc>
        <w:tc>
          <w:tcPr>
            <w:tcW w:w="1732" w:type="dxa"/>
            <w:vAlign w:val="center"/>
          </w:tcPr>
          <w:p>
            <w:pPr>
              <w:spacing w:line="360" w:lineRule="auto"/>
              <w:jc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营养会诊</w:t>
            </w:r>
          </w:p>
        </w:tc>
        <w:tc>
          <w:tcPr>
            <w:tcW w:w="6274" w:type="dxa"/>
          </w:tcPr>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从医院系统中获取临床会诊申请，临床营养师录入会诊意见和结果并可整合至营养病历。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vMerge w:val="continue"/>
          </w:tcPr>
          <w:p>
            <w:pPr>
              <w:spacing w:line="360" w:lineRule="auto"/>
              <w:rPr>
                <w:rFonts w:cs="仿宋" w:asciiTheme="majorEastAsia" w:hAnsiTheme="majorEastAsia" w:eastAsiaTheme="majorEastAsia"/>
                <w:kern w:val="0"/>
                <w:sz w:val="24"/>
                <w:szCs w:val="24"/>
              </w:rPr>
            </w:pPr>
          </w:p>
        </w:tc>
        <w:tc>
          <w:tcPr>
            <w:tcW w:w="1732" w:type="dxa"/>
            <w:vAlign w:val="center"/>
          </w:tcPr>
          <w:p>
            <w:pPr>
              <w:spacing w:line="360" w:lineRule="auto"/>
              <w:jc w:val="center"/>
              <w:rPr>
                <w:rFonts w:cs="仿宋" w:asciiTheme="majorEastAsia" w:hAnsiTheme="majorEastAsia" w:eastAsiaTheme="majorEastAsia"/>
                <w:sz w:val="24"/>
                <w:szCs w:val="24"/>
              </w:rPr>
            </w:pPr>
            <w:bookmarkStart w:id="3" w:name="_Toc35968090"/>
            <w:r>
              <w:rPr>
                <w:rFonts w:hint="eastAsia" w:cs="仿宋" w:asciiTheme="majorEastAsia" w:hAnsiTheme="majorEastAsia" w:eastAsiaTheme="majorEastAsia"/>
                <w:sz w:val="24"/>
                <w:szCs w:val="24"/>
              </w:rPr>
              <w:t>营养</w:t>
            </w:r>
            <w:bookmarkEnd w:id="3"/>
            <w:r>
              <w:rPr>
                <w:rFonts w:hint="eastAsia" w:cs="仿宋" w:asciiTheme="majorEastAsia" w:hAnsiTheme="majorEastAsia" w:eastAsiaTheme="majorEastAsia"/>
                <w:sz w:val="24"/>
                <w:szCs w:val="24"/>
              </w:rPr>
              <w:t>支持</w:t>
            </w:r>
          </w:p>
        </w:tc>
        <w:tc>
          <w:tcPr>
            <w:tcW w:w="6274" w:type="dxa"/>
          </w:tcPr>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支持营养（医）师根据营养评估和营养诊断的结论对患者进行个性化的营养治疗计划编制，包含营养治疗原则、营养治疗途径、个性化营养素推荐。</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支持肠内制剂的标签打印功能；</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支持肠内MDT协作：可与院内系统对接，读取临床下达的常规食字号肠内医嘱。</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支持维护常用制剂和经典处方，方便快速下达医嘱。</w:t>
            </w:r>
          </w:p>
          <w:p>
            <w:p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▲支持历次肠内医嘱查询，可清晰查看到已作废、已停用和正在生效的肠内医嘱。</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支持营养素计算：合计食字号肠内、膳食的营养摄入量，达数十种营养素及三大能量来源比的自动计算。</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支持将计算值与推荐量进行对比分析，将有差距的营养素重点标记出来，方便营养（医）师查看。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vMerge w:val="continue"/>
          </w:tcPr>
          <w:p>
            <w:pPr>
              <w:spacing w:line="360" w:lineRule="auto"/>
              <w:rPr>
                <w:rFonts w:cs="仿宋" w:asciiTheme="majorEastAsia" w:hAnsiTheme="majorEastAsia" w:eastAsiaTheme="majorEastAsia"/>
                <w:kern w:val="0"/>
                <w:sz w:val="24"/>
                <w:szCs w:val="24"/>
              </w:rPr>
            </w:pPr>
          </w:p>
        </w:tc>
        <w:tc>
          <w:tcPr>
            <w:tcW w:w="1732" w:type="dxa"/>
            <w:vAlign w:val="center"/>
          </w:tcPr>
          <w:p>
            <w:pPr>
              <w:spacing w:line="360" w:lineRule="auto"/>
              <w:jc w:val="center"/>
              <w:rPr>
                <w:rFonts w:cs="仿宋" w:asciiTheme="majorEastAsia" w:hAnsiTheme="majorEastAsia" w:eastAsiaTheme="majorEastAsia"/>
                <w:sz w:val="24"/>
                <w:szCs w:val="24"/>
              </w:rPr>
            </w:pPr>
            <w:bookmarkStart w:id="4" w:name="_Toc35968095"/>
            <w:r>
              <w:rPr>
                <w:rFonts w:hint="eastAsia" w:cs="仿宋" w:asciiTheme="majorEastAsia" w:hAnsiTheme="majorEastAsia" w:eastAsiaTheme="majorEastAsia"/>
                <w:sz w:val="24"/>
                <w:szCs w:val="24"/>
              </w:rPr>
              <w:t>▲查房管理</w:t>
            </w:r>
            <w:bookmarkEnd w:id="4"/>
          </w:p>
        </w:tc>
        <w:tc>
          <w:tcPr>
            <w:tcW w:w="6274" w:type="dxa"/>
          </w:tcPr>
          <w:p>
            <w:pPr>
              <w:numPr>
                <w:ilvl w:val="0"/>
                <w:numId w:val="12"/>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支持肠内营养并发症记录功能。</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支持历次查房记录查询。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689" w:type="dxa"/>
            <w:vMerge w:val="continue"/>
          </w:tcPr>
          <w:p>
            <w:pPr>
              <w:spacing w:line="360" w:lineRule="auto"/>
              <w:rPr>
                <w:rFonts w:cs="仿宋" w:asciiTheme="majorEastAsia" w:hAnsiTheme="majorEastAsia" w:eastAsiaTheme="majorEastAsia"/>
                <w:kern w:val="0"/>
                <w:sz w:val="24"/>
                <w:szCs w:val="24"/>
              </w:rPr>
            </w:pPr>
          </w:p>
        </w:tc>
        <w:tc>
          <w:tcPr>
            <w:tcW w:w="1732" w:type="dxa"/>
            <w:vAlign w:val="center"/>
          </w:tcPr>
          <w:p>
            <w:pPr>
              <w:spacing w:line="360" w:lineRule="auto"/>
              <w:jc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营养宣教</w:t>
            </w:r>
          </w:p>
        </w:tc>
        <w:tc>
          <w:tcPr>
            <w:tcW w:w="6274" w:type="dxa"/>
          </w:tcPr>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支持针对疾病诊断，系统提供宣教模板。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vMerge w:val="continue"/>
          </w:tcPr>
          <w:p>
            <w:pPr>
              <w:spacing w:line="360" w:lineRule="auto"/>
              <w:rPr>
                <w:rFonts w:cs="仿宋" w:asciiTheme="majorEastAsia" w:hAnsiTheme="majorEastAsia" w:eastAsiaTheme="majorEastAsia"/>
                <w:kern w:val="0"/>
                <w:sz w:val="24"/>
                <w:szCs w:val="24"/>
              </w:rPr>
            </w:pPr>
          </w:p>
        </w:tc>
        <w:tc>
          <w:tcPr>
            <w:tcW w:w="1732" w:type="dxa"/>
            <w:vAlign w:val="center"/>
          </w:tcPr>
          <w:p>
            <w:pPr>
              <w:spacing w:line="360" w:lineRule="auto"/>
              <w:jc w:val="center"/>
              <w:rPr>
                <w:rFonts w:cs="仿宋" w:asciiTheme="majorEastAsia" w:hAnsiTheme="majorEastAsia" w:eastAsiaTheme="majorEastAsia"/>
                <w:sz w:val="24"/>
                <w:szCs w:val="24"/>
              </w:rPr>
            </w:pPr>
            <w:bookmarkStart w:id="5" w:name="_Toc35968103"/>
            <w:r>
              <w:rPr>
                <w:rFonts w:hint="eastAsia" w:cs="仿宋" w:asciiTheme="majorEastAsia" w:hAnsiTheme="majorEastAsia" w:eastAsiaTheme="majorEastAsia"/>
                <w:sz w:val="24"/>
                <w:szCs w:val="24"/>
              </w:rPr>
              <w:t>监测中心</w:t>
            </w:r>
            <w:bookmarkEnd w:id="5"/>
          </w:p>
        </w:tc>
        <w:tc>
          <w:tcPr>
            <w:tcW w:w="6274" w:type="dxa"/>
          </w:tcPr>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支持查看入院期间体重/BMI的变化曲线图。</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支持查看患者历次饮食医嘱变更记录。</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支持查看患者历次实验室检查指标上下限以及动态曲线。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vMerge w:val="continue"/>
          </w:tcPr>
          <w:p>
            <w:pPr>
              <w:spacing w:line="360" w:lineRule="auto"/>
              <w:rPr>
                <w:rFonts w:cs="仿宋" w:asciiTheme="majorEastAsia" w:hAnsiTheme="majorEastAsia" w:eastAsiaTheme="majorEastAsia"/>
                <w:kern w:val="0"/>
                <w:sz w:val="24"/>
                <w:szCs w:val="24"/>
              </w:rPr>
            </w:pPr>
          </w:p>
        </w:tc>
        <w:tc>
          <w:tcPr>
            <w:tcW w:w="1732" w:type="dxa"/>
            <w:vAlign w:val="center"/>
          </w:tcPr>
          <w:p>
            <w:pPr>
              <w:spacing w:line="360" w:lineRule="auto"/>
              <w:jc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营养病历</w:t>
            </w:r>
          </w:p>
        </w:tc>
        <w:tc>
          <w:tcPr>
            <w:tcW w:w="6274" w:type="dxa"/>
          </w:tcPr>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自动生成标准营养病历，营养诊疗过程信息全部整合，营养病历规范符合等级医院评审要求；包含：基本信息、入院记录、营养评估、营养筛查诊断、营养诊疗计划、标准肠内/肠外营养、病程记录、会诊记录、出院营养医嘱、营养病历一览表。</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支持营养病历的导出和打印。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vMerge w:val="continue"/>
          </w:tcPr>
          <w:p>
            <w:pPr>
              <w:spacing w:line="360" w:lineRule="auto"/>
              <w:rPr>
                <w:rFonts w:cs="仿宋" w:asciiTheme="majorEastAsia" w:hAnsiTheme="majorEastAsia" w:eastAsiaTheme="majorEastAsia"/>
                <w:kern w:val="0"/>
                <w:sz w:val="24"/>
                <w:szCs w:val="24"/>
              </w:rPr>
            </w:pPr>
          </w:p>
        </w:tc>
        <w:tc>
          <w:tcPr>
            <w:tcW w:w="1732" w:type="dxa"/>
            <w:vAlign w:val="center"/>
          </w:tcPr>
          <w:p>
            <w:pPr>
              <w:spacing w:line="360" w:lineRule="auto"/>
              <w:jc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肠内管理</w:t>
            </w:r>
          </w:p>
        </w:tc>
        <w:tc>
          <w:tcPr>
            <w:tcW w:w="6274" w:type="dxa"/>
          </w:tcPr>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支持按多种条件查询统计食字号肠内营养医嘱的开具情况。</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支持自动化生成食字号肠内营养标签。</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支持根据病区、科室、床号、姓名、制剂名称、注入方式、打印状态（已打印、未打印）来查询医嘱，并实现批量选择打印肠内营养标签。</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支持查询某患者、某科室患者的费用明细单，并可统计该患者或该科室合计费用金额。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vMerge w:val="continue"/>
          </w:tcPr>
          <w:p>
            <w:pPr>
              <w:spacing w:line="360" w:lineRule="auto"/>
              <w:rPr>
                <w:rFonts w:cs="仿宋" w:asciiTheme="majorEastAsia" w:hAnsiTheme="majorEastAsia" w:eastAsiaTheme="majorEastAsia"/>
                <w:kern w:val="0"/>
                <w:sz w:val="24"/>
                <w:szCs w:val="24"/>
              </w:rPr>
            </w:pPr>
          </w:p>
        </w:tc>
        <w:tc>
          <w:tcPr>
            <w:tcW w:w="1732" w:type="dxa"/>
            <w:vAlign w:val="center"/>
          </w:tcPr>
          <w:p>
            <w:pPr>
              <w:spacing w:line="360" w:lineRule="auto"/>
              <w:jc w:val="center"/>
              <w:rPr>
                <w:rFonts w:cs="仿宋" w:asciiTheme="majorEastAsia" w:hAnsiTheme="majorEastAsia" w:eastAsiaTheme="majorEastAsia"/>
                <w:sz w:val="24"/>
                <w:szCs w:val="24"/>
              </w:rPr>
            </w:pPr>
            <w:r>
              <w:rPr>
                <w:rFonts w:hint="eastAsia" w:cs="仿宋" w:asciiTheme="majorEastAsia" w:hAnsiTheme="majorEastAsia" w:eastAsiaTheme="majorEastAsia"/>
                <w:color w:val="000000"/>
                <w:sz w:val="24"/>
                <w:szCs w:val="24"/>
              </w:rPr>
              <w:t>库存管理</w:t>
            </w:r>
          </w:p>
        </w:tc>
        <w:tc>
          <w:tcPr>
            <w:tcW w:w="6274" w:type="dxa"/>
          </w:tcPr>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支持食字号肠内营养制剂原材料库存管理。</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支持采购入库管理、领用出库管理、库存盘点管理功能。</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支持出库单、入库单、库存单的打印。</w:t>
            </w:r>
          </w:p>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支持查询出入库明细查询和打印功能。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vMerge w:val="continue"/>
          </w:tcPr>
          <w:p>
            <w:pPr>
              <w:spacing w:line="360" w:lineRule="auto"/>
              <w:rPr>
                <w:rFonts w:cs="仿宋" w:asciiTheme="majorEastAsia" w:hAnsiTheme="majorEastAsia" w:eastAsiaTheme="majorEastAsia"/>
                <w:kern w:val="0"/>
                <w:sz w:val="24"/>
                <w:szCs w:val="24"/>
              </w:rPr>
            </w:pPr>
          </w:p>
        </w:tc>
        <w:tc>
          <w:tcPr>
            <w:tcW w:w="1732" w:type="dxa"/>
            <w:vAlign w:val="center"/>
          </w:tcPr>
          <w:p>
            <w:pPr>
              <w:spacing w:line="360" w:lineRule="auto"/>
              <w:jc w:val="center"/>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接口管理</w:t>
            </w:r>
          </w:p>
        </w:tc>
        <w:tc>
          <w:tcPr>
            <w:tcW w:w="6274" w:type="dxa"/>
          </w:tcPr>
          <w:p>
            <w:pPr>
              <w:numPr>
                <w:ilvl w:val="0"/>
                <w:numId w:val="11"/>
              </w:numPr>
              <w:spacing w:line="360" w:lineRule="auto"/>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支持与院内HIS、LIS、EMR系统对接。</w:t>
            </w:r>
          </w:p>
        </w:tc>
      </w:tr>
    </w:tbl>
    <w:p>
      <w:pPr>
        <w:widowControl/>
        <w:spacing w:line="360" w:lineRule="auto"/>
        <w:jc w:val="left"/>
        <w:rPr>
          <w:rFonts w:asciiTheme="majorEastAsia" w:hAnsiTheme="majorEastAsia" w:eastAsiaTheme="majorEastAsia"/>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786080"/>
      <w:docPartObj>
        <w:docPartGallery w:val="autotext"/>
      </w:docPartObj>
    </w:sdtPr>
    <w:sdtContent>
      <w:sdt>
        <w:sdtPr>
          <w:id w:val="171357217"/>
          <w:docPartObj>
            <w:docPartGallery w:val="autotext"/>
          </w:docPartObj>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66391"/>
    <w:multiLevelType w:val="multilevel"/>
    <w:tmpl w:val="24D6639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D2231F9"/>
    <w:multiLevelType w:val="multilevel"/>
    <w:tmpl w:val="2D2231F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67439EF"/>
    <w:multiLevelType w:val="multilevel"/>
    <w:tmpl w:val="367439EF"/>
    <w:lvl w:ilvl="0" w:tentative="0">
      <w:start w:val="1"/>
      <w:numFmt w:val="bullet"/>
      <w:lvlText w:val=""/>
      <w:lvlJc w:val="left"/>
      <w:pPr>
        <w:ind w:left="900" w:hanging="420"/>
      </w:pPr>
      <w:rPr>
        <w:rFonts w:hint="default" w:ascii="Wingdings" w:hAnsi="Wingding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CB335F0"/>
    <w:multiLevelType w:val="multilevel"/>
    <w:tmpl w:val="4CB335F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8BF6DFA"/>
    <w:multiLevelType w:val="multilevel"/>
    <w:tmpl w:val="58BF6DF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C05751B"/>
    <w:multiLevelType w:val="multilevel"/>
    <w:tmpl w:val="5C05751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46A1155"/>
    <w:multiLevelType w:val="multilevel"/>
    <w:tmpl w:val="646A115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FFF4A6F"/>
    <w:multiLevelType w:val="multilevel"/>
    <w:tmpl w:val="6FFF4A6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700549A1"/>
    <w:multiLevelType w:val="multilevel"/>
    <w:tmpl w:val="700549A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0C80AC3"/>
    <w:multiLevelType w:val="multilevel"/>
    <w:tmpl w:val="70C80AC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66976ED"/>
    <w:multiLevelType w:val="multilevel"/>
    <w:tmpl w:val="766976E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7A0B5DC6"/>
    <w:multiLevelType w:val="multilevel"/>
    <w:tmpl w:val="7A0B5DC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4"/>
  </w:num>
  <w:num w:numId="3">
    <w:abstractNumId w:val="5"/>
  </w:num>
  <w:num w:numId="4">
    <w:abstractNumId w:val="7"/>
  </w:num>
  <w:num w:numId="5">
    <w:abstractNumId w:val="6"/>
  </w:num>
  <w:num w:numId="6">
    <w:abstractNumId w:val="8"/>
  </w:num>
  <w:num w:numId="7">
    <w:abstractNumId w:val="1"/>
  </w:num>
  <w:num w:numId="8">
    <w:abstractNumId w:val="11"/>
  </w:num>
  <w:num w:numId="9">
    <w:abstractNumId w:val="3"/>
  </w:num>
  <w:num w:numId="10">
    <w:abstractNumId w:val="9"/>
  </w:num>
  <w:num w:numId="11">
    <w:abstractNumId w:val="2"/>
    <w:lvlOverride w:ilvl="0">
      <w:lvl w:ilvl="0" w:tentative="1">
        <w:start w:val="1"/>
        <w:numFmt w:val="bullet"/>
        <w:lvlText w:val=""/>
        <w:lvlJc w:val="left"/>
        <w:pPr>
          <w:ind w:left="340" w:hanging="340"/>
        </w:pPr>
        <w:rPr>
          <w:rFonts w:hint="default" w:ascii="Wingdings" w:hAnsi="Wingdings"/>
        </w:rPr>
      </w:lvl>
    </w:lvlOverride>
    <w:lvlOverride w:ilvl="1">
      <w:lvl w:ilvl="1" w:tentative="1">
        <w:start w:val="1"/>
        <w:numFmt w:val="lowerLetter"/>
        <w:lvlText w:val="%2)"/>
        <w:lvlJc w:val="left"/>
        <w:pPr>
          <w:ind w:left="840" w:hanging="420"/>
        </w:pPr>
        <w:rPr>
          <w:rFonts w:hint="eastAsia"/>
        </w:rPr>
      </w:lvl>
    </w:lvlOverride>
    <w:lvlOverride w:ilvl="2">
      <w:lvl w:ilvl="2" w:tentative="1">
        <w:start w:val="1"/>
        <w:numFmt w:val="lowerRoman"/>
        <w:lvlText w:val="%3."/>
        <w:lvlJc w:val="right"/>
        <w:pPr>
          <w:ind w:left="1260" w:hanging="420"/>
        </w:pPr>
        <w:rPr>
          <w:rFonts w:hint="eastAsia"/>
        </w:rPr>
      </w:lvl>
    </w:lvlOverride>
    <w:lvlOverride w:ilvl="3">
      <w:lvl w:ilvl="3" w:tentative="1">
        <w:start w:val="1"/>
        <w:numFmt w:val="decimal"/>
        <w:lvlText w:val="%4."/>
        <w:lvlJc w:val="left"/>
        <w:pPr>
          <w:ind w:left="1680" w:hanging="420"/>
        </w:pPr>
        <w:rPr>
          <w:rFonts w:hint="eastAsia"/>
        </w:rPr>
      </w:lvl>
    </w:lvlOverride>
    <w:lvlOverride w:ilvl="4">
      <w:lvl w:ilvl="4" w:tentative="1">
        <w:start w:val="1"/>
        <w:numFmt w:val="lowerLetter"/>
        <w:lvlText w:val="%5)"/>
        <w:lvlJc w:val="left"/>
        <w:pPr>
          <w:ind w:left="2100" w:hanging="420"/>
        </w:pPr>
        <w:rPr>
          <w:rFonts w:hint="eastAsia"/>
        </w:rPr>
      </w:lvl>
    </w:lvlOverride>
    <w:lvlOverride w:ilvl="5">
      <w:lvl w:ilvl="5" w:tentative="1">
        <w:start w:val="1"/>
        <w:numFmt w:val="lowerRoman"/>
        <w:lvlText w:val="%6."/>
        <w:lvlJc w:val="right"/>
        <w:pPr>
          <w:ind w:left="2520" w:hanging="420"/>
        </w:pPr>
        <w:rPr>
          <w:rFonts w:hint="eastAsia"/>
        </w:rPr>
      </w:lvl>
    </w:lvlOverride>
    <w:lvlOverride w:ilvl="6">
      <w:lvl w:ilvl="6" w:tentative="1">
        <w:start w:val="1"/>
        <w:numFmt w:val="decimal"/>
        <w:lvlText w:val="%7."/>
        <w:lvlJc w:val="left"/>
        <w:pPr>
          <w:ind w:left="2940" w:hanging="420"/>
        </w:pPr>
        <w:rPr>
          <w:rFonts w:hint="eastAsia"/>
        </w:rPr>
      </w:lvl>
    </w:lvlOverride>
    <w:lvlOverride w:ilvl="7">
      <w:lvl w:ilvl="7" w:tentative="1">
        <w:start w:val="1"/>
        <w:numFmt w:val="lowerLetter"/>
        <w:lvlText w:val="%8)"/>
        <w:lvlJc w:val="left"/>
        <w:pPr>
          <w:ind w:left="3360" w:hanging="420"/>
        </w:pPr>
        <w:rPr>
          <w:rFonts w:hint="eastAsia"/>
        </w:rPr>
      </w:lvl>
    </w:lvlOverride>
    <w:lvlOverride w:ilvl="8">
      <w:lvl w:ilvl="8" w:tentative="1">
        <w:start w:val="1"/>
        <w:numFmt w:val="lowerRoman"/>
        <w:lvlText w:val="%9."/>
        <w:lvlJc w:val="right"/>
        <w:pPr>
          <w:ind w:left="3780" w:hanging="420"/>
        </w:pPr>
        <w:rPr>
          <w:rFonts w:hint="eastAsia"/>
        </w:rPr>
      </w:lvl>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F93"/>
    <w:rsid w:val="00020C0D"/>
    <w:rsid w:val="00032E2D"/>
    <w:rsid w:val="0007080C"/>
    <w:rsid w:val="00084870"/>
    <w:rsid w:val="0008657E"/>
    <w:rsid w:val="000B64C5"/>
    <w:rsid w:val="000E20BA"/>
    <w:rsid w:val="00101C5B"/>
    <w:rsid w:val="00104B4E"/>
    <w:rsid w:val="00141909"/>
    <w:rsid w:val="00141EF7"/>
    <w:rsid w:val="00150B38"/>
    <w:rsid w:val="001742C4"/>
    <w:rsid w:val="001E3003"/>
    <w:rsid w:val="001E42EA"/>
    <w:rsid w:val="00252151"/>
    <w:rsid w:val="0026573C"/>
    <w:rsid w:val="0027684F"/>
    <w:rsid w:val="002C3B9F"/>
    <w:rsid w:val="00353149"/>
    <w:rsid w:val="003A3F93"/>
    <w:rsid w:val="003D75DB"/>
    <w:rsid w:val="00411FDD"/>
    <w:rsid w:val="004131DD"/>
    <w:rsid w:val="004327A2"/>
    <w:rsid w:val="00433B20"/>
    <w:rsid w:val="004737D9"/>
    <w:rsid w:val="00521E5D"/>
    <w:rsid w:val="006132CB"/>
    <w:rsid w:val="0068019A"/>
    <w:rsid w:val="006A7A60"/>
    <w:rsid w:val="006E5410"/>
    <w:rsid w:val="006F65F3"/>
    <w:rsid w:val="007110D0"/>
    <w:rsid w:val="00783070"/>
    <w:rsid w:val="00784AA5"/>
    <w:rsid w:val="007A3783"/>
    <w:rsid w:val="007B3CD9"/>
    <w:rsid w:val="007B3CE3"/>
    <w:rsid w:val="007E3ED7"/>
    <w:rsid w:val="008049FC"/>
    <w:rsid w:val="008162E6"/>
    <w:rsid w:val="00822072"/>
    <w:rsid w:val="00832A04"/>
    <w:rsid w:val="008558B7"/>
    <w:rsid w:val="008B1DDD"/>
    <w:rsid w:val="008D127E"/>
    <w:rsid w:val="009212CC"/>
    <w:rsid w:val="00945B1B"/>
    <w:rsid w:val="009501B1"/>
    <w:rsid w:val="00971D93"/>
    <w:rsid w:val="00993EA4"/>
    <w:rsid w:val="009A1148"/>
    <w:rsid w:val="009A5D59"/>
    <w:rsid w:val="009A7EE9"/>
    <w:rsid w:val="009F5A1C"/>
    <w:rsid w:val="00A25FCD"/>
    <w:rsid w:val="00A3187F"/>
    <w:rsid w:val="00A629AE"/>
    <w:rsid w:val="00A73E9E"/>
    <w:rsid w:val="00A763C5"/>
    <w:rsid w:val="00AA37A4"/>
    <w:rsid w:val="00AD300E"/>
    <w:rsid w:val="00AD5A85"/>
    <w:rsid w:val="00B16C7D"/>
    <w:rsid w:val="00B43EA6"/>
    <w:rsid w:val="00B44B7C"/>
    <w:rsid w:val="00B4519C"/>
    <w:rsid w:val="00B56040"/>
    <w:rsid w:val="00B670A4"/>
    <w:rsid w:val="00C10DAD"/>
    <w:rsid w:val="00C874F7"/>
    <w:rsid w:val="00CF56C2"/>
    <w:rsid w:val="00CF6AD8"/>
    <w:rsid w:val="00D102E8"/>
    <w:rsid w:val="00D107EF"/>
    <w:rsid w:val="00D5754A"/>
    <w:rsid w:val="00D84DAD"/>
    <w:rsid w:val="00D95148"/>
    <w:rsid w:val="00E05E51"/>
    <w:rsid w:val="00E34A46"/>
    <w:rsid w:val="00E43BE0"/>
    <w:rsid w:val="00E53403"/>
    <w:rsid w:val="00E75B0E"/>
    <w:rsid w:val="00EB389D"/>
    <w:rsid w:val="00EC70FC"/>
    <w:rsid w:val="00F77113"/>
    <w:rsid w:val="00F800E8"/>
    <w:rsid w:val="00FB01EF"/>
    <w:rsid w:val="00FD3208"/>
    <w:rsid w:val="05186A6F"/>
    <w:rsid w:val="14FA5936"/>
    <w:rsid w:val="15324936"/>
    <w:rsid w:val="1BF37FED"/>
    <w:rsid w:val="31AD2622"/>
    <w:rsid w:val="33FB2AA2"/>
    <w:rsid w:val="44DC26A6"/>
    <w:rsid w:val="5B9F72AD"/>
    <w:rsid w:val="60632208"/>
    <w:rsid w:val="78251478"/>
    <w:rsid w:val="7FEA2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4"/>
    <w:qFormat/>
    <w:uiPriority w:val="0"/>
    <w:pPr>
      <w:keepNext/>
      <w:keepLines/>
      <w:spacing w:before="260" w:after="260" w:line="416" w:lineRule="auto"/>
      <w:outlineLvl w:val="1"/>
    </w:pPr>
    <w:rPr>
      <w:rFonts w:ascii="Calibri" w:hAnsi="Calibri" w:eastAsia="黑体" w:cs="Times New Roman"/>
      <w:b/>
      <w:bCs/>
      <w:sz w:val="32"/>
      <w:szCs w:val="32"/>
    </w:rPr>
  </w:style>
  <w:style w:type="paragraph" w:styleId="3">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3"/>
    <w:semiHidden/>
    <w:unhideWhenUsed/>
    <w:qFormat/>
    <w:uiPriority w:val="99"/>
    <w:rPr>
      <w:rFonts w:ascii="宋体" w:eastAsia="宋体"/>
      <w:sz w:val="18"/>
      <w:szCs w:val="18"/>
    </w:rPr>
  </w:style>
  <w:style w:type="paragraph" w:styleId="5">
    <w:name w:val="annotation text"/>
    <w:basedOn w:val="1"/>
    <w:link w:val="22"/>
    <w:qFormat/>
    <w:uiPriority w:val="99"/>
    <w:pPr>
      <w:autoSpaceDE w:val="0"/>
      <w:autoSpaceDN w:val="0"/>
      <w:jc w:val="left"/>
    </w:pPr>
    <w:rPr>
      <w:rFonts w:ascii="宋体" w:hAnsi="宋体" w:eastAsia="宋体" w:cs="宋体"/>
      <w:kern w:val="0"/>
      <w:sz w:val="22"/>
      <w:lang w:val="zh-CN" w:bidi="zh-CN"/>
    </w:rPr>
  </w:style>
  <w:style w:type="paragraph" w:styleId="6">
    <w:name w:val="index 4"/>
    <w:basedOn w:val="1"/>
    <w:next w:val="1"/>
    <w:semiHidden/>
    <w:unhideWhenUsed/>
    <w:qFormat/>
    <w:uiPriority w:val="99"/>
    <w:pPr>
      <w:autoSpaceDE w:val="0"/>
      <w:autoSpaceDN w:val="0"/>
      <w:ind w:left="600" w:leftChars="600"/>
      <w:jc w:val="left"/>
    </w:pPr>
    <w:rPr>
      <w:rFonts w:ascii="宋体" w:hAnsi="宋体" w:eastAsia="宋体" w:cs="宋体"/>
      <w:kern w:val="0"/>
      <w:sz w:val="22"/>
      <w:lang w:val="zh-CN" w:bidi="zh-CN"/>
    </w:rPr>
  </w:style>
  <w:style w:type="paragraph" w:styleId="7">
    <w:name w:val="Balloon Text"/>
    <w:basedOn w:val="1"/>
    <w:link w:val="21"/>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Emphasis"/>
    <w:basedOn w:val="12"/>
    <w:qFormat/>
    <w:uiPriority w:val="20"/>
    <w:rPr>
      <w:i/>
      <w:i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styleId="15">
    <w:name w:val="annotation reference"/>
    <w:basedOn w:val="12"/>
    <w:qFormat/>
    <w:uiPriority w:val="99"/>
    <w:rPr>
      <w:sz w:val="21"/>
      <w:szCs w:val="21"/>
    </w:rPr>
  </w:style>
  <w:style w:type="character" w:customStyle="1" w:styleId="16">
    <w:name w:val="页眉 Char"/>
    <w:basedOn w:val="12"/>
    <w:link w:val="9"/>
    <w:qFormat/>
    <w:uiPriority w:val="99"/>
    <w:rPr>
      <w:sz w:val="18"/>
      <w:szCs w:val="18"/>
    </w:rPr>
  </w:style>
  <w:style w:type="character" w:customStyle="1" w:styleId="17">
    <w:name w:val="页脚 Char"/>
    <w:basedOn w:val="12"/>
    <w:link w:val="8"/>
    <w:qFormat/>
    <w:uiPriority w:val="99"/>
    <w:rPr>
      <w:sz w:val="18"/>
      <w:szCs w:val="18"/>
    </w:rPr>
  </w:style>
  <w:style w:type="paragraph" w:customStyle="1" w:styleId="18">
    <w:name w:val="列出段落1"/>
    <w:basedOn w:val="1"/>
    <w:qFormat/>
    <w:uiPriority w:val="99"/>
    <w:pPr>
      <w:widowControl/>
      <w:ind w:firstLine="420" w:firstLineChars="200"/>
    </w:pPr>
    <w:rPr>
      <w:rFonts w:ascii="Calibri" w:hAnsi="Calibri" w:eastAsia="宋体" w:cs="黑体"/>
    </w:rPr>
  </w:style>
  <w:style w:type="paragraph" w:styleId="19">
    <w:name w:val="List Paragraph"/>
    <w:basedOn w:val="1"/>
    <w:link w:val="20"/>
    <w:qFormat/>
    <w:uiPriority w:val="34"/>
    <w:pPr>
      <w:widowControl/>
      <w:spacing w:after="160" w:line="259" w:lineRule="auto"/>
      <w:ind w:left="720"/>
      <w:contextualSpacing/>
      <w:jc w:val="left"/>
    </w:pPr>
    <w:rPr>
      <w:kern w:val="0"/>
      <w:sz w:val="22"/>
    </w:rPr>
  </w:style>
  <w:style w:type="character" w:customStyle="1" w:styleId="20">
    <w:name w:val="列出段落 Char"/>
    <w:basedOn w:val="12"/>
    <w:link w:val="19"/>
    <w:qFormat/>
    <w:locked/>
    <w:uiPriority w:val="34"/>
    <w:rPr>
      <w:kern w:val="0"/>
      <w:sz w:val="22"/>
    </w:rPr>
  </w:style>
  <w:style w:type="character" w:customStyle="1" w:styleId="21">
    <w:name w:val="批注框文本 Char"/>
    <w:basedOn w:val="12"/>
    <w:link w:val="7"/>
    <w:semiHidden/>
    <w:qFormat/>
    <w:uiPriority w:val="99"/>
    <w:rPr>
      <w:sz w:val="18"/>
      <w:szCs w:val="18"/>
    </w:rPr>
  </w:style>
  <w:style w:type="character" w:customStyle="1" w:styleId="22">
    <w:name w:val="批注文字 Char"/>
    <w:basedOn w:val="12"/>
    <w:link w:val="5"/>
    <w:qFormat/>
    <w:uiPriority w:val="99"/>
    <w:rPr>
      <w:rFonts w:ascii="宋体" w:hAnsi="宋体" w:eastAsia="宋体" w:cs="宋体"/>
      <w:kern w:val="0"/>
      <w:sz w:val="22"/>
      <w:lang w:val="zh-CN" w:bidi="zh-CN"/>
    </w:rPr>
  </w:style>
  <w:style w:type="character" w:customStyle="1" w:styleId="23">
    <w:name w:val="文档结构图 Char"/>
    <w:basedOn w:val="12"/>
    <w:link w:val="4"/>
    <w:semiHidden/>
    <w:qFormat/>
    <w:uiPriority w:val="99"/>
    <w:rPr>
      <w:rFonts w:ascii="宋体" w:eastAsia="宋体"/>
      <w:kern w:val="2"/>
      <w:sz w:val="18"/>
      <w:szCs w:val="18"/>
    </w:rPr>
  </w:style>
  <w:style w:type="character" w:customStyle="1" w:styleId="24">
    <w:name w:val="标题 2 Char"/>
    <w:basedOn w:val="12"/>
    <w:link w:val="2"/>
    <w:qFormat/>
    <w:uiPriority w:val="0"/>
    <w:rPr>
      <w:rFonts w:ascii="Calibri" w:hAnsi="Calibri" w:eastAsia="黑体" w:cs="Times New Roman"/>
      <w:b/>
      <w:bCs/>
      <w:kern w:val="2"/>
      <w:sz w:val="32"/>
      <w:szCs w:val="32"/>
    </w:rPr>
  </w:style>
  <w:style w:type="character" w:customStyle="1" w:styleId="25">
    <w:name w:val="标题 3 Char"/>
    <w:basedOn w:val="12"/>
    <w:link w:val="3"/>
    <w:qFormat/>
    <w:uiPriority w:val="9"/>
    <w:rPr>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EDDB8D-878F-49E3-A843-918068D72606}">
  <ds:schemaRefs/>
</ds:datastoreItem>
</file>

<file path=docProps/app.xml><?xml version="1.0" encoding="utf-8"?>
<Properties xmlns="http://schemas.openxmlformats.org/officeDocument/2006/extended-properties" xmlns:vt="http://schemas.openxmlformats.org/officeDocument/2006/docPropsVTypes">
  <Template>Normal</Template>
  <Pages>1</Pages>
  <Words>844</Words>
  <Characters>4815</Characters>
  <Lines>40</Lines>
  <Paragraphs>11</Paragraphs>
  <TotalTime>5</TotalTime>
  <ScaleCrop>false</ScaleCrop>
  <LinksUpToDate>false</LinksUpToDate>
  <CharactersWithSpaces>5648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2020-11-24T02:08:00Z</dcterms:created>
  <dc:creator>ourbsb@163.com</dc:creator>
  <cp:lastModifiedBy>周涛</cp:lastModifiedBy>
  <dcterms:modified xsi:type="dcterms:W3CDTF">2021-03-12T00:48:19Z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