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85"/>
        <w:gridCol w:w="2129"/>
        <w:gridCol w:w="6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条款号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评分因素</w:t>
            </w:r>
          </w:p>
        </w:tc>
        <w:tc>
          <w:tcPr>
            <w:tcW w:w="62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技术标评审因素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企业综合实力评分标准（20分）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企业业绩（10分）</w:t>
            </w:r>
          </w:p>
        </w:tc>
        <w:tc>
          <w:tcPr>
            <w:tcW w:w="6292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投标人自2018年1月1日以来（以合同签订时间为准）：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承接过医院空调维保业绩的，每提供一个得5分；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须提供维保业绩合同复印件并加盖投标人公章。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企业资质（10分）</w:t>
            </w:r>
          </w:p>
        </w:tc>
        <w:tc>
          <w:tcPr>
            <w:tcW w:w="6292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（1）投标人具有空调品牌厂家授权的优秀运营服务商证书，得5分。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（2）投标人具有空调品牌厂家的服务工作合作协议，得5分。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须提供证明材料复印件加盖投标人公章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5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技术评分标准（30）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整体服务方案（8分）</w:t>
            </w:r>
          </w:p>
        </w:tc>
        <w:tc>
          <w:tcPr>
            <w:tcW w:w="6292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综合比较投标人拟提供的维保技术参数和整体服务方案等进行评审，优秀的得8分，良好的得6分，一般的得4分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设备投入情况（6）</w:t>
            </w:r>
          </w:p>
        </w:tc>
        <w:tc>
          <w:tcPr>
            <w:tcW w:w="6292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根据各投标人拟投入本项目的工作设备情况打分(包括售后车辆及工作设备的数量多少、是否先进稳定使用方便等)优秀的得6分，良好的得4分，一般的得2分。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保养细则（8分）</w:t>
            </w:r>
          </w:p>
        </w:tc>
        <w:tc>
          <w:tcPr>
            <w:tcW w:w="6292" w:type="dxa"/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综合比较投标人拟提供的保养细则内容的清洁、润滑、周期性、辅材更换的及时性、平时巡查等进行评分，优秀的得8分，良好的得6分，一般的得4分。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注：后期在合同签订时，将中标单位的保养细则附于合同中，如与技术评分中行为不符，则取消其中标资格，造成的损失由中标单位负责。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49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维修细则（8分）</w:t>
            </w:r>
          </w:p>
        </w:tc>
        <w:tc>
          <w:tcPr>
            <w:tcW w:w="6292" w:type="dxa"/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综合比较投标人拟提供的维修细则内容的解除故障效率、更换产品质量、常用配件辅材的储备、技术能力的支持、维修满意度等进行评分，优秀的得8分，良好的得6分，一般的得4分。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注：后期在合同签订时，将中标单位的维修细则附于合同中，如与技术评分中行为不符，则取消其中标资格，造成的损失由中标单位负责。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54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商务标评分标准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投标报价评分标准</w:t>
            </w:r>
          </w:p>
        </w:tc>
        <w:tc>
          <w:tcPr>
            <w:tcW w:w="2129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投标报价得分（50分）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按每年度费用报价，最高限价为8万/年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292" w:type="dxa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投标人投标报价大于或等于最高投标限价，不得入围投标人家数和评标基准值的计算。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余有效投标人（通过符合性评审、资格评审）为入围投标人，入围投标人的报价参与评标。入围投标人7家以上时，去掉投标人报价中一个最高值和一个最低值；入围投标人在7家及以下时，报价全部参与计算平均数，投标报价算术平均数即为评标标准价。</w:t>
            </w:r>
          </w:p>
          <w:p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投标报价得分满分50分，评分由评标委员会对照投标人的报价打分。投标人的投标报价与评标标准价相同的得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0分，投标人的投标报价与评标标准价相比每降1%扣0.5分；投标人的投标报价与评标标准价相比每高1%扣1分，依次类推，扣完为止（中间采用插入法计算，保留二位小数）。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955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1.业绩以投标文件中的合同复印件为评审依据。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2.复印件应清晰、关键内容可以辨认。否则，投标人应承担因复印件关键内容不可以辨认的风险。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3.如近年来，投标人法人机构发生合法变更或重组或法人名称变更时，应提供相关部门的合法批件或其他相关证明材料，证明其业绩、获奖等的继承性。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16448"/>
    <w:rsid w:val="53205203"/>
    <w:rsid w:val="58427ED3"/>
    <w:rsid w:val="64A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2021-07-29T01:03:09Z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13D0A244801E4C9EBA47C25CAE56389B</vt:lpwstr>
  </property>
</Properties>
</file>