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717" w:rsidRDefault="00B450D8">
      <w:pPr>
        <w:pStyle w:val="1"/>
        <w:jc w:val="center"/>
      </w:pPr>
      <w:r>
        <w:rPr>
          <w:rFonts w:hint="eastAsia"/>
        </w:rPr>
        <w:t>施工说明</w:t>
      </w:r>
    </w:p>
    <w:p w:rsidR="004D0717" w:rsidRPr="00BA2B4E" w:rsidRDefault="00BA2B4E" w:rsidP="00BA2B4E">
      <w:pPr>
        <w:ind w:left="641"/>
        <w:jc w:val="left"/>
        <w:rPr>
          <w:rFonts w:asciiTheme="minorEastAsia" w:hAnsiTheme="minorEastAsia"/>
          <w:sz w:val="32"/>
          <w:szCs w:val="32"/>
        </w:rPr>
      </w:pPr>
      <w:r w:rsidRPr="007E7515">
        <w:rPr>
          <w:rFonts w:asciiTheme="minorEastAsia" w:hAnsiTheme="minorEastAsia" w:hint="eastAsia"/>
          <w:b/>
          <w:sz w:val="32"/>
          <w:szCs w:val="32"/>
        </w:rPr>
        <w:t>一、</w:t>
      </w:r>
      <w:r w:rsidR="00D54E95" w:rsidRPr="007E7515">
        <w:rPr>
          <w:rFonts w:asciiTheme="minorEastAsia" w:hAnsiTheme="minorEastAsia" w:hint="eastAsia"/>
          <w:b/>
          <w:sz w:val="32"/>
          <w:szCs w:val="32"/>
        </w:rPr>
        <w:t>消防电源整改内容，为响应消防验收规范要求作如下整改：</w:t>
      </w:r>
      <w:r w:rsidR="007E7515">
        <w:rPr>
          <w:rFonts w:asciiTheme="minorEastAsia" w:hAnsiTheme="minorEastAsia" w:hint="eastAsia"/>
          <w:b/>
          <w:sz w:val="32"/>
          <w:szCs w:val="32"/>
        </w:rPr>
        <w:t>1）</w:t>
      </w:r>
      <w:r w:rsidR="00B450D8" w:rsidRPr="00BA2B4E">
        <w:rPr>
          <w:rFonts w:asciiTheme="minorEastAsia" w:hAnsiTheme="minorEastAsia" w:hint="eastAsia"/>
          <w:sz w:val="32"/>
          <w:szCs w:val="32"/>
        </w:rPr>
        <w:t>施工图中配电系统图标识电缆型号为BTTZ电缆，回路连接的配电箱及配电设备均为消防电源。现要求将BTTZ电缆替换为BTTRZ消防电缆布设，原有电缆桥架内消防电</w:t>
      </w:r>
      <w:r w:rsidR="00D54E95" w:rsidRPr="00BA2B4E">
        <w:rPr>
          <w:rFonts w:asciiTheme="minorEastAsia" w:hAnsiTheme="minorEastAsia" w:hint="eastAsia"/>
          <w:sz w:val="32"/>
          <w:szCs w:val="32"/>
        </w:rPr>
        <w:t>源电缆不动，拆除封好电缆头绑扎，放置电箱内作为后备替换使用考虑。</w:t>
      </w:r>
      <w:r w:rsidR="007E7515">
        <w:rPr>
          <w:rFonts w:asciiTheme="minorEastAsia" w:hAnsiTheme="minorEastAsia" w:hint="eastAsia"/>
          <w:sz w:val="32"/>
          <w:szCs w:val="32"/>
        </w:rPr>
        <w:t>2）</w:t>
      </w:r>
      <w:r w:rsidR="00B450D8" w:rsidRPr="00BA2B4E">
        <w:rPr>
          <w:rFonts w:asciiTheme="minorEastAsia" w:hAnsiTheme="minorEastAsia" w:hint="eastAsia"/>
          <w:sz w:val="32"/>
          <w:szCs w:val="32"/>
        </w:rPr>
        <w:t>楼内消防电源配电箱重新布置的消防电源电缆</w:t>
      </w:r>
      <w:r w:rsidR="00D54E95" w:rsidRPr="00BA2B4E">
        <w:rPr>
          <w:rFonts w:asciiTheme="minorEastAsia" w:hAnsiTheme="minorEastAsia" w:hint="eastAsia"/>
          <w:sz w:val="32"/>
          <w:szCs w:val="32"/>
        </w:rPr>
        <w:t>施工现场布置路径均应考虑拆除及恢复原状（装饰吊顶、灯具、监控、消防报警、空调风口、消防喷淋）等设备。</w:t>
      </w:r>
      <w:r w:rsidR="007E7515">
        <w:rPr>
          <w:rFonts w:asciiTheme="minorEastAsia" w:hAnsiTheme="minorEastAsia" w:hint="eastAsia"/>
          <w:sz w:val="32"/>
          <w:szCs w:val="32"/>
        </w:rPr>
        <w:t>3）</w:t>
      </w:r>
      <w:r w:rsidR="00D54E95" w:rsidRPr="00BA2B4E">
        <w:rPr>
          <w:rFonts w:asciiTheme="minorEastAsia" w:hAnsiTheme="minorEastAsia" w:hint="eastAsia"/>
          <w:sz w:val="32"/>
          <w:szCs w:val="32"/>
        </w:rPr>
        <w:t>投标人应考虑施工中损坏上述设备的采购安装调试费用和</w:t>
      </w:r>
      <w:r w:rsidR="00B450D8" w:rsidRPr="00BA2B4E">
        <w:rPr>
          <w:rFonts w:asciiTheme="minorEastAsia" w:hAnsiTheme="minorEastAsia" w:hint="eastAsia"/>
          <w:sz w:val="32"/>
          <w:szCs w:val="32"/>
        </w:rPr>
        <w:t>墙体开孔及防火封堵、墙面乳胶漆恢复、墙体恢复、瓷砖恢复、垃圾清运等费用。</w:t>
      </w:r>
      <w:r w:rsidR="007E7515">
        <w:rPr>
          <w:rFonts w:asciiTheme="minorEastAsia" w:hAnsiTheme="minorEastAsia" w:hint="eastAsia"/>
          <w:sz w:val="32"/>
          <w:szCs w:val="32"/>
        </w:rPr>
        <w:t>4）</w:t>
      </w:r>
      <w:r w:rsidR="00B450D8" w:rsidRPr="00BA2B4E">
        <w:rPr>
          <w:rFonts w:asciiTheme="minorEastAsia" w:hAnsiTheme="minorEastAsia" w:hint="eastAsia"/>
          <w:sz w:val="32"/>
          <w:szCs w:val="32"/>
        </w:rPr>
        <w:t>布设路径为各楼层消防电源电箱位置沿走道吊顶至现强电井旁的ZY井开孔布置桥架至地下室低压配电房对应配电柜与相对应功能开关连接施工。</w:t>
      </w:r>
    </w:p>
    <w:p w:rsidR="004D0717" w:rsidRPr="00BA2B4E" w:rsidRDefault="00BA2B4E" w:rsidP="00BA2B4E">
      <w:pPr>
        <w:ind w:left="641"/>
        <w:jc w:val="left"/>
        <w:rPr>
          <w:rFonts w:asciiTheme="minorEastAsia" w:hAnsiTheme="minorEastAsia"/>
          <w:sz w:val="32"/>
          <w:szCs w:val="32"/>
        </w:rPr>
      </w:pPr>
      <w:r w:rsidRPr="007E7515">
        <w:rPr>
          <w:rFonts w:asciiTheme="minorEastAsia" w:hAnsiTheme="minorEastAsia" w:hint="eastAsia"/>
          <w:b/>
          <w:sz w:val="32"/>
          <w:szCs w:val="32"/>
        </w:rPr>
        <w:t>二、</w:t>
      </w:r>
      <w:r w:rsidR="008654D9" w:rsidRPr="007E7515">
        <w:rPr>
          <w:rFonts w:asciiTheme="minorEastAsia" w:hAnsiTheme="minorEastAsia" w:hint="eastAsia"/>
          <w:b/>
          <w:sz w:val="32"/>
          <w:szCs w:val="32"/>
        </w:rPr>
        <w:t>双电源配电箱整改内容</w:t>
      </w:r>
      <w:r w:rsidR="007E7515" w:rsidRPr="007E7515">
        <w:rPr>
          <w:rFonts w:asciiTheme="minorEastAsia" w:hAnsiTheme="minorEastAsia" w:hint="eastAsia"/>
          <w:b/>
          <w:sz w:val="32"/>
          <w:szCs w:val="32"/>
        </w:rPr>
        <w:t>，</w:t>
      </w:r>
      <w:r w:rsidR="008654D9" w:rsidRPr="007E7515">
        <w:rPr>
          <w:rFonts w:asciiTheme="minorEastAsia" w:hAnsiTheme="minorEastAsia" w:hint="eastAsia"/>
          <w:b/>
          <w:sz w:val="32"/>
          <w:szCs w:val="32"/>
        </w:rPr>
        <w:t>为响应消防验收规范要求作如下整改</w:t>
      </w:r>
      <w:r w:rsidR="007E7515" w:rsidRPr="007E7515">
        <w:rPr>
          <w:rFonts w:asciiTheme="minorEastAsia" w:hAnsiTheme="minorEastAsia" w:hint="eastAsia"/>
          <w:b/>
          <w:sz w:val="32"/>
          <w:szCs w:val="32"/>
        </w:rPr>
        <w:t>：</w:t>
      </w:r>
      <w:r w:rsidR="007E7515">
        <w:rPr>
          <w:rFonts w:asciiTheme="minorEastAsia" w:hAnsiTheme="minorEastAsia" w:hint="eastAsia"/>
          <w:b/>
          <w:sz w:val="32"/>
          <w:szCs w:val="32"/>
        </w:rPr>
        <w:t>1）</w:t>
      </w:r>
      <w:r w:rsidR="00B450D8" w:rsidRPr="00BA2B4E">
        <w:rPr>
          <w:rFonts w:asciiTheme="minorEastAsia" w:hAnsiTheme="minorEastAsia" w:hint="eastAsia"/>
          <w:sz w:val="32"/>
          <w:szCs w:val="32"/>
        </w:rPr>
        <w:t>原双电源配电箱内的双电源转换开关上端口没有设置隔离断路器，现要求对所有未设置隔离断路器的双电源配电箱箱内加装两个与双电源参数规格相匹配的隔离断路器，断路器品牌应同现场双电源转</w:t>
      </w:r>
      <w:r w:rsidR="00B450D8" w:rsidRPr="00BA2B4E">
        <w:rPr>
          <w:rFonts w:asciiTheme="minorEastAsia" w:hAnsiTheme="minorEastAsia" w:hint="eastAsia"/>
          <w:sz w:val="32"/>
          <w:szCs w:val="32"/>
        </w:rPr>
        <w:lastRenderedPageBreak/>
        <w:t>换开关一致（注：现场品牌为法国施耐德）。</w:t>
      </w:r>
      <w:r w:rsidR="007E7515">
        <w:rPr>
          <w:rFonts w:asciiTheme="minorEastAsia" w:hAnsiTheme="minorEastAsia" w:hint="eastAsia"/>
          <w:sz w:val="32"/>
          <w:szCs w:val="32"/>
        </w:rPr>
        <w:t>2）</w:t>
      </w:r>
      <w:r w:rsidR="00B450D8" w:rsidRPr="00BA2B4E">
        <w:rPr>
          <w:rFonts w:asciiTheme="minorEastAsia" w:hAnsiTheme="minorEastAsia" w:hint="eastAsia"/>
          <w:sz w:val="32"/>
          <w:szCs w:val="32"/>
        </w:rPr>
        <w:t>现场原有配电箱由于没有考虑加</w:t>
      </w:r>
      <w:r w:rsidR="00D54E95" w:rsidRPr="00BA2B4E">
        <w:rPr>
          <w:rFonts w:asciiTheme="minorEastAsia" w:hAnsiTheme="minorEastAsia" w:hint="eastAsia"/>
          <w:sz w:val="32"/>
          <w:szCs w:val="32"/>
        </w:rPr>
        <w:t>装断路器位置，故配电箱整改时投标单位应考虑对原有配电箱箱体拆除及更</w:t>
      </w:r>
      <w:r w:rsidR="00B450D8" w:rsidRPr="00BA2B4E">
        <w:rPr>
          <w:rFonts w:asciiTheme="minorEastAsia" w:hAnsiTheme="minorEastAsia" w:hint="eastAsia"/>
          <w:sz w:val="32"/>
          <w:szCs w:val="32"/>
        </w:rPr>
        <w:t>换符合现场日后使用要求的配电箱箱体，并对拆除元器件及配电线路进行重新调整布置安装</w:t>
      </w:r>
      <w:r w:rsidR="00D54E95" w:rsidRPr="00BA2B4E">
        <w:rPr>
          <w:rFonts w:asciiTheme="minorEastAsia" w:hAnsiTheme="minorEastAsia" w:hint="eastAsia"/>
          <w:sz w:val="32"/>
          <w:szCs w:val="32"/>
        </w:rPr>
        <w:t>到位同时修复拆除墙体等工作。</w:t>
      </w:r>
      <w:r w:rsidR="007E7515">
        <w:rPr>
          <w:rFonts w:asciiTheme="minorEastAsia" w:hAnsiTheme="minorEastAsia" w:hint="eastAsia"/>
          <w:sz w:val="32"/>
          <w:szCs w:val="32"/>
        </w:rPr>
        <w:t>3）</w:t>
      </w:r>
      <w:r w:rsidR="00D54E95" w:rsidRPr="00BA2B4E">
        <w:rPr>
          <w:rFonts w:asciiTheme="minorEastAsia" w:hAnsiTheme="minorEastAsia" w:hint="eastAsia"/>
          <w:sz w:val="32"/>
          <w:szCs w:val="32"/>
        </w:rPr>
        <w:t>配电箱整改报价应综合考虑包含（拆除更</w:t>
      </w:r>
      <w:r w:rsidR="00B450D8" w:rsidRPr="00BA2B4E">
        <w:rPr>
          <w:rFonts w:asciiTheme="minorEastAsia" w:hAnsiTheme="minorEastAsia" w:hint="eastAsia"/>
          <w:sz w:val="32"/>
          <w:szCs w:val="32"/>
        </w:rPr>
        <w:t>换配电箱箱体材料及施工费用、加装断路隔离开关及连接配电元器件的各类主辅材费用、</w:t>
      </w:r>
      <w:bookmarkStart w:id="0" w:name="_GoBack"/>
      <w:bookmarkEnd w:id="0"/>
      <w:r w:rsidR="00B450D8" w:rsidRPr="00BA2B4E">
        <w:rPr>
          <w:rFonts w:asciiTheme="minorEastAsia" w:hAnsiTheme="minorEastAsia" w:hint="eastAsia"/>
          <w:sz w:val="32"/>
          <w:szCs w:val="32"/>
        </w:rPr>
        <w:t>墙体开孔及恢复费用、对拆除元器件及配电线路进行重新调整布置费用、通电调试费用及对配电箱的两年质保维修全部费用）。</w:t>
      </w:r>
    </w:p>
    <w:sectPr w:rsidR="004D0717" w:rsidRPr="00BA2B4E" w:rsidSect="004D0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6B" w:rsidRDefault="0071776B" w:rsidP="008654D9">
      <w:r>
        <w:separator/>
      </w:r>
    </w:p>
  </w:endnote>
  <w:endnote w:type="continuationSeparator" w:id="0">
    <w:p w:rsidR="0071776B" w:rsidRDefault="0071776B" w:rsidP="00865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6B" w:rsidRDefault="0071776B" w:rsidP="008654D9">
      <w:r>
        <w:separator/>
      </w:r>
    </w:p>
  </w:footnote>
  <w:footnote w:type="continuationSeparator" w:id="0">
    <w:p w:rsidR="0071776B" w:rsidRDefault="0071776B" w:rsidP="00865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EAFA7"/>
    <w:multiLevelType w:val="singleLevel"/>
    <w:tmpl w:val="CAFEAFA7"/>
    <w:lvl w:ilvl="0">
      <w:start w:val="1"/>
      <w:numFmt w:val="decimal"/>
      <w:suff w:val="nothing"/>
      <w:lvlText w:val="%1、"/>
      <w:lvlJc w:val="left"/>
    </w:lvl>
  </w:abstractNum>
  <w:abstractNum w:abstractNumId="1">
    <w:nsid w:val="0B3C330E"/>
    <w:multiLevelType w:val="hybridMultilevel"/>
    <w:tmpl w:val="150EFA84"/>
    <w:lvl w:ilvl="0" w:tplc="6D5E083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EA5"/>
    <w:rsid w:val="004671B7"/>
    <w:rsid w:val="004D0717"/>
    <w:rsid w:val="00582624"/>
    <w:rsid w:val="00705007"/>
    <w:rsid w:val="0071776B"/>
    <w:rsid w:val="007E7515"/>
    <w:rsid w:val="008654D9"/>
    <w:rsid w:val="008952B7"/>
    <w:rsid w:val="00B13715"/>
    <w:rsid w:val="00B450D8"/>
    <w:rsid w:val="00BA2B4E"/>
    <w:rsid w:val="00BB43DF"/>
    <w:rsid w:val="00D12EA5"/>
    <w:rsid w:val="00D54E95"/>
    <w:rsid w:val="00EB5F4F"/>
    <w:rsid w:val="0FCD619E"/>
    <w:rsid w:val="14C03FB1"/>
    <w:rsid w:val="17994C6D"/>
    <w:rsid w:val="3E045C33"/>
    <w:rsid w:val="4687565E"/>
    <w:rsid w:val="51CC0EF1"/>
    <w:rsid w:val="535E17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717"/>
    <w:pPr>
      <w:widowControl w:val="0"/>
      <w:jc w:val="both"/>
    </w:pPr>
    <w:rPr>
      <w:kern w:val="2"/>
      <w:sz w:val="21"/>
      <w:szCs w:val="22"/>
    </w:rPr>
  </w:style>
  <w:style w:type="paragraph" w:styleId="1">
    <w:name w:val="heading 1"/>
    <w:basedOn w:val="a"/>
    <w:next w:val="a"/>
    <w:link w:val="1Char"/>
    <w:uiPriority w:val="9"/>
    <w:qFormat/>
    <w:rsid w:val="004D071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0717"/>
    <w:rPr>
      <w:b/>
      <w:bCs/>
      <w:kern w:val="44"/>
      <w:sz w:val="44"/>
      <w:szCs w:val="44"/>
    </w:rPr>
  </w:style>
  <w:style w:type="paragraph" w:styleId="a3">
    <w:name w:val="header"/>
    <w:basedOn w:val="a"/>
    <w:link w:val="Char"/>
    <w:uiPriority w:val="99"/>
    <w:semiHidden/>
    <w:unhideWhenUsed/>
    <w:rsid w:val="00865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54D9"/>
    <w:rPr>
      <w:kern w:val="2"/>
      <w:sz w:val="18"/>
      <w:szCs w:val="18"/>
    </w:rPr>
  </w:style>
  <w:style w:type="paragraph" w:styleId="a4">
    <w:name w:val="footer"/>
    <w:basedOn w:val="a"/>
    <w:link w:val="Char0"/>
    <w:uiPriority w:val="99"/>
    <w:semiHidden/>
    <w:unhideWhenUsed/>
    <w:rsid w:val="008654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54D9"/>
    <w:rPr>
      <w:kern w:val="2"/>
      <w:sz w:val="18"/>
      <w:szCs w:val="18"/>
    </w:rPr>
  </w:style>
  <w:style w:type="paragraph" w:styleId="a5">
    <w:name w:val="List Paragraph"/>
    <w:basedOn w:val="a"/>
    <w:uiPriority w:val="99"/>
    <w:unhideWhenUsed/>
    <w:rsid w:val="00D54E9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muguangmiao</dc:creator>
  <cp:lastModifiedBy>muguangmiao</cp:lastModifiedBy>
  <cp:revision>7</cp:revision>
  <dcterms:created xsi:type="dcterms:W3CDTF">2021-07-27T00:02:00Z</dcterms:created>
  <dcterms:modified xsi:type="dcterms:W3CDTF">2021-08-19T02:26:00Z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DE2DD5311F084725A2C803619B246C83</vt:lpwstr>
  </property>
</Properties>
</file>