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6881"/>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44" w:type="dxa"/>
            <w:vAlign w:val="center"/>
          </w:tcPr>
          <w:p>
            <w:pPr>
              <w:tabs>
                <w:tab w:val="left" w:pos="360"/>
                <w:tab w:val="left" w:pos="840"/>
              </w:tabs>
              <w:spacing w:line="300" w:lineRule="auto"/>
              <w:jc w:val="center"/>
              <w:rPr>
                <w:rFonts w:ascii="仿宋" w:hAnsi="仿宋" w:eastAsia="仿宋" w:cs="Times New Roman"/>
                <w:b/>
                <w:szCs w:val="20"/>
              </w:rPr>
            </w:pPr>
            <w:r>
              <w:rPr>
                <w:rFonts w:hint="eastAsia" w:ascii="仿宋" w:hAnsi="仿宋" w:eastAsia="仿宋" w:cs="Times New Roman"/>
                <w:b/>
                <w:szCs w:val="20"/>
              </w:rPr>
              <w:t>项目</w:t>
            </w:r>
          </w:p>
        </w:tc>
        <w:tc>
          <w:tcPr>
            <w:tcW w:w="6881" w:type="dxa"/>
            <w:vAlign w:val="center"/>
          </w:tcPr>
          <w:p>
            <w:pPr>
              <w:tabs>
                <w:tab w:val="left" w:pos="360"/>
                <w:tab w:val="left" w:pos="840"/>
              </w:tabs>
              <w:spacing w:line="300" w:lineRule="auto"/>
              <w:ind w:firstLine="422"/>
              <w:jc w:val="center"/>
              <w:rPr>
                <w:rFonts w:ascii="仿宋" w:hAnsi="仿宋" w:eastAsia="仿宋" w:cs="Times New Roman"/>
                <w:b/>
                <w:szCs w:val="20"/>
              </w:rPr>
            </w:pPr>
            <w:r>
              <w:rPr>
                <w:rFonts w:hint="eastAsia" w:ascii="仿宋" w:hAnsi="仿宋" w:eastAsia="仿宋" w:cs="Times New Roman"/>
                <w:b/>
                <w:szCs w:val="20"/>
              </w:rPr>
              <w:t>评标内容</w:t>
            </w:r>
          </w:p>
        </w:tc>
        <w:tc>
          <w:tcPr>
            <w:tcW w:w="647" w:type="dxa"/>
            <w:vAlign w:val="center"/>
          </w:tcPr>
          <w:p>
            <w:pPr>
              <w:tabs>
                <w:tab w:val="left" w:pos="360"/>
                <w:tab w:val="left" w:pos="840"/>
              </w:tabs>
              <w:spacing w:line="300" w:lineRule="auto"/>
              <w:rPr>
                <w:rFonts w:ascii="仿宋" w:hAnsi="仿宋" w:eastAsia="仿宋" w:cs="Times New Roman"/>
                <w:b/>
                <w:szCs w:val="20"/>
              </w:rPr>
            </w:pPr>
            <w:r>
              <w:rPr>
                <w:rFonts w:hint="eastAsia" w:ascii="仿宋" w:hAnsi="仿宋" w:eastAsia="仿宋" w:cs="Times New Roman"/>
                <w:b/>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344" w:type="dxa"/>
            <w:vAlign w:val="center"/>
          </w:tcPr>
          <w:p>
            <w:pPr>
              <w:tabs>
                <w:tab w:val="left" w:pos="360"/>
                <w:tab w:val="left" w:pos="840"/>
              </w:tabs>
              <w:spacing w:line="300" w:lineRule="auto"/>
              <w:jc w:val="center"/>
              <w:rPr>
                <w:rFonts w:ascii="仿宋" w:hAnsi="仿宋" w:eastAsia="仿宋" w:cs="Times New Roman"/>
                <w:szCs w:val="20"/>
              </w:rPr>
            </w:pPr>
            <w:r>
              <w:rPr>
                <w:rFonts w:hint="eastAsia" w:ascii="仿宋" w:hAnsi="仿宋" w:eastAsia="仿宋" w:cs="Times New Roman"/>
                <w:szCs w:val="20"/>
                <w:lang w:val="en-US" w:eastAsia="zh-CN"/>
              </w:rPr>
              <w:t>商务</w:t>
            </w:r>
            <w:r>
              <w:rPr>
                <w:rFonts w:hint="eastAsia" w:ascii="仿宋" w:hAnsi="仿宋" w:eastAsia="仿宋" w:cs="Times New Roman"/>
                <w:szCs w:val="20"/>
              </w:rPr>
              <w:t>评分</w:t>
            </w:r>
          </w:p>
          <w:p>
            <w:pPr>
              <w:tabs>
                <w:tab w:val="left" w:pos="360"/>
                <w:tab w:val="left" w:pos="840"/>
              </w:tabs>
              <w:spacing w:line="300" w:lineRule="auto"/>
              <w:jc w:val="center"/>
              <w:rPr>
                <w:rFonts w:ascii="仿宋" w:hAnsi="仿宋" w:eastAsia="仿宋" w:cs="Times New Roman"/>
                <w:szCs w:val="20"/>
              </w:rPr>
            </w:pPr>
            <w:r>
              <w:rPr>
                <w:rFonts w:hint="eastAsia" w:ascii="仿宋" w:hAnsi="仿宋" w:eastAsia="仿宋" w:cs="Times New Roman"/>
                <w:szCs w:val="20"/>
              </w:rPr>
              <w:t>（共30分）</w:t>
            </w:r>
          </w:p>
        </w:tc>
        <w:tc>
          <w:tcPr>
            <w:tcW w:w="6881" w:type="dxa"/>
            <w:vAlign w:val="center"/>
          </w:tcPr>
          <w:p>
            <w:pPr>
              <w:pStyle w:val="2"/>
              <w:spacing w:line="360" w:lineRule="auto"/>
              <w:ind w:firstLine="0"/>
              <w:rPr>
                <w:rFonts w:ascii="仿宋" w:hAnsi="仿宋" w:eastAsia="仿宋" w:cstheme="minorEastAsia"/>
                <w:kern w:val="2"/>
                <w:sz w:val="21"/>
                <w:lang w:val="zh-CN"/>
              </w:rPr>
            </w:pPr>
            <w:r>
              <w:rPr>
                <w:rFonts w:hint="eastAsia" w:ascii="仿宋" w:hAnsi="仿宋" w:eastAsia="仿宋" w:cstheme="minorEastAsia"/>
                <w:kern w:val="2"/>
                <w:sz w:val="21"/>
                <w:lang w:val="zh-CN"/>
              </w:rPr>
              <w:t>采用低价优先法计算：即经评审满足招标文件要求且投标价格最低的投标报价为评标基准价，其价格分为满分30分。投标人的价格分统一按照下列公式计算：投标报价得分</w:t>
            </w:r>
            <w:r>
              <w:rPr>
                <w:rFonts w:hint="eastAsia" w:ascii="仿宋" w:hAnsi="仿宋" w:eastAsia="仿宋" w:cstheme="minorEastAsia"/>
                <w:kern w:val="2"/>
                <w:sz w:val="21"/>
                <w:lang w:val="en-US" w:eastAsia="zh-CN"/>
              </w:rPr>
              <w:t>=</w:t>
            </w:r>
            <w:r>
              <w:rPr>
                <w:rFonts w:hint="eastAsia" w:ascii="仿宋" w:hAnsi="仿宋" w:eastAsia="仿宋" w:cstheme="minorEastAsia"/>
                <w:kern w:val="2"/>
                <w:sz w:val="21"/>
                <w:lang w:val="zh-CN"/>
              </w:rPr>
              <w:t>（评标基准价/投标报价）×30％×100</w:t>
            </w:r>
          </w:p>
        </w:tc>
        <w:tc>
          <w:tcPr>
            <w:tcW w:w="647" w:type="dxa"/>
            <w:vAlign w:val="center"/>
          </w:tcPr>
          <w:p>
            <w:pPr>
              <w:tabs>
                <w:tab w:val="left" w:pos="360"/>
                <w:tab w:val="left" w:pos="840"/>
              </w:tabs>
              <w:spacing w:line="300" w:lineRule="auto"/>
              <w:jc w:val="center"/>
              <w:rPr>
                <w:rFonts w:ascii="仿宋" w:hAnsi="仿宋" w:eastAsia="仿宋" w:cs="Times New Roman"/>
                <w:szCs w:val="20"/>
              </w:rPr>
            </w:pPr>
            <w:r>
              <w:rPr>
                <w:rFonts w:hint="eastAsia" w:ascii="仿宋" w:hAnsi="仿宋" w:eastAsia="仿宋" w:cs="Times New Roman"/>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1344" w:type="dxa"/>
            <w:vMerge w:val="restart"/>
            <w:vAlign w:val="center"/>
          </w:tcPr>
          <w:p>
            <w:pPr>
              <w:tabs>
                <w:tab w:val="left" w:pos="360"/>
                <w:tab w:val="left" w:pos="840"/>
              </w:tabs>
              <w:spacing w:line="300" w:lineRule="auto"/>
              <w:jc w:val="center"/>
              <w:rPr>
                <w:rFonts w:ascii="仿宋" w:hAnsi="仿宋" w:eastAsia="仿宋" w:cs="Times New Roman"/>
                <w:szCs w:val="20"/>
              </w:rPr>
            </w:pPr>
            <w:r>
              <w:rPr>
                <w:rFonts w:hint="eastAsia" w:ascii="仿宋" w:hAnsi="仿宋" w:eastAsia="仿宋" w:cs="Times New Roman"/>
                <w:szCs w:val="20"/>
              </w:rPr>
              <w:t>技术部分</w:t>
            </w:r>
          </w:p>
          <w:p>
            <w:pPr>
              <w:tabs>
                <w:tab w:val="left" w:pos="360"/>
                <w:tab w:val="left" w:pos="840"/>
              </w:tabs>
              <w:spacing w:line="300" w:lineRule="auto"/>
              <w:jc w:val="center"/>
              <w:rPr>
                <w:rFonts w:ascii="仿宋" w:hAnsi="仿宋" w:eastAsia="仿宋" w:cs="Times New Roman"/>
                <w:szCs w:val="20"/>
              </w:rPr>
            </w:pPr>
            <w:r>
              <w:rPr>
                <w:rFonts w:hint="eastAsia" w:ascii="仿宋" w:hAnsi="仿宋" w:eastAsia="仿宋" w:cs="Times New Roman"/>
                <w:szCs w:val="20"/>
              </w:rPr>
              <w:t>（共5</w:t>
            </w:r>
            <w:r>
              <w:rPr>
                <w:rFonts w:hint="eastAsia" w:ascii="仿宋" w:hAnsi="仿宋" w:eastAsia="仿宋" w:cs="Times New Roman"/>
                <w:szCs w:val="20"/>
                <w:lang w:val="en-US" w:eastAsia="zh-CN"/>
              </w:rPr>
              <w:t>5</w:t>
            </w:r>
            <w:r>
              <w:rPr>
                <w:rFonts w:hint="eastAsia" w:ascii="仿宋" w:hAnsi="仿宋" w:eastAsia="仿宋" w:cs="Times New Roman"/>
                <w:szCs w:val="20"/>
              </w:rPr>
              <w:t>分）</w:t>
            </w:r>
          </w:p>
        </w:tc>
        <w:tc>
          <w:tcPr>
            <w:tcW w:w="6881" w:type="dxa"/>
            <w:vAlign w:val="center"/>
          </w:tcPr>
          <w:p>
            <w:pPr>
              <w:tabs>
                <w:tab w:val="left" w:pos="360"/>
                <w:tab w:val="left" w:pos="840"/>
              </w:tabs>
              <w:spacing w:line="300" w:lineRule="auto"/>
              <w:rPr>
                <w:rFonts w:ascii="仿宋" w:hAnsi="仿宋" w:eastAsia="仿宋" w:cs="Times New Roman"/>
                <w:b/>
                <w:szCs w:val="20"/>
              </w:rPr>
            </w:pPr>
            <w:r>
              <w:rPr>
                <w:rFonts w:hint="eastAsia" w:ascii="仿宋" w:hAnsi="仿宋" w:eastAsia="仿宋" w:cs="Times New Roman"/>
                <w:b/>
                <w:szCs w:val="20"/>
              </w:rPr>
              <w:t>产品技术性能</w:t>
            </w:r>
          </w:p>
          <w:p>
            <w:pPr>
              <w:tabs>
                <w:tab w:val="left" w:pos="360"/>
                <w:tab w:val="left" w:pos="840"/>
              </w:tabs>
              <w:spacing w:line="300" w:lineRule="auto"/>
              <w:rPr>
                <w:rFonts w:ascii="仿宋" w:hAnsi="仿宋" w:eastAsia="仿宋" w:cs="Times New Roman"/>
                <w:bCs/>
                <w:szCs w:val="20"/>
              </w:rPr>
            </w:pPr>
            <w:r>
              <w:rPr>
                <w:rFonts w:ascii="仿宋" w:hAnsi="仿宋" w:eastAsia="仿宋" w:cs="Times New Roman"/>
                <w:szCs w:val="20"/>
              </w:rPr>
              <w:t>完全满足招标文件技术参数指标及要求得</w:t>
            </w:r>
            <w:r>
              <w:rPr>
                <w:rFonts w:hint="eastAsia" w:ascii="仿宋" w:hAnsi="仿宋" w:eastAsia="仿宋" w:cs="Times New Roman"/>
                <w:szCs w:val="20"/>
                <w:lang w:val="en-US" w:eastAsia="zh-CN"/>
              </w:rPr>
              <w:t>55</w:t>
            </w:r>
            <w:r>
              <w:rPr>
                <w:rFonts w:ascii="仿宋" w:hAnsi="仿宋" w:eastAsia="仿宋" w:cs="Times New Roman"/>
                <w:szCs w:val="20"/>
              </w:rPr>
              <w:t>分</w:t>
            </w:r>
            <w:r>
              <w:rPr>
                <w:rFonts w:hint="eastAsia" w:ascii="仿宋" w:hAnsi="仿宋" w:eastAsia="仿宋" w:cs="Times New Roman"/>
                <w:szCs w:val="20"/>
              </w:rPr>
              <w:t>，★为实质性参数，不满足</w:t>
            </w:r>
            <w:r>
              <w:rPr>
                <w:rFonts w:hint="eastAsia" w:ascii="仿宋" w:hAnsi="仿宋" w:eastAsia="仿宋" w:cs="Times New Roman"/>
                <w:szCs w:val="20"/>
                <w:lang w:val="en-US" w:eastAsia="zh-CN"/>
              </w:rPr>
              <w:t>技术部分得0分</w:t>
            </w:r>
            <w:r>
              <w:rPr>
                <w:rFonts w:hint="eastAsia" w:ascii="仿宋" w:hAnsi="仿宋" w:eastAsia="仿宋" w:cs="Times New Roman"/>
                <w:szCs w:val="20"/>
              </w:rPr>
              <w:t>；▲项参数为重点参数，每1项</w:t>
            </w:r>
            <w:r>
              <w:rPr>
                <w:rFonts w:ascii="仿宋" w:hAnsi="仿宋" w:eastAsia="仿宋" w:cs="Times New Roman"/>
                <w:szCs w:val="20"/>
              </w:rPr>
              <w:t>负偏离扣</w:t>
            </w:r>
            <w:r>
              <w:rPr>
                <w:rFonts w:hint="eastAsia" w:ascii="仿宋" w:hAnsi="仿宋" w:eastAsia="仿宋" w:cs="Times New Roman"/>
                <w:szCs w:val="20"/>
              </w:rPr>
              <w:t>5</w:t>
            </w:r>
            <w:r>
              <w:rPr>
                <w:rFonts w:ascii="仿宋" w:hAnsi="仿宋" w:eastAsia="仿宋" w:cs="Times New Roman"/>
                <w:szCs w:val="20"/>
              </w:rPr>
              <w:t>分</w:t>
            </w:r>
            <w:r>
              <w:rPr>
                <w:rFonts w:hint="eastAsia" w:ascii="仿宋" w:hAnsi="仿宋" w:eastAsia="仿宋" w:cs="Times New Roman"/>
                <w:szCs w:val="20"/>
                <w:lang w:eastAsia="zh-CN"/>
              </w:rPr>
              <w:t>；</w:t>
            </w:r>
            <w:r>
              <w:rPr>
                <w:rFonts w:hint="eastAsia" w:ascii="仿宋" w:hAnsi="仿宋" w:eastAsia="仿宋" w:cs="Times New Roman"/>
                <w:szCs w:val="20"/>
              </w:rPr>
              <w:t>其他参数每1项负偏离扣3分，</w:t>
            </w:r>
            <w:r>
              <w:rPr>
                <w:rFonts w:ascii="仿宋" w:hAnsi="仿宋" w:eastAsia="仿宋" w:cs="Times New Roman"/>
                <w:szCs w:val="20"/>
              </w:rPr>
              <w:t>扣完为止。</w:t>
            </w:r>
          </w:p>
        </w:tc>
        <w:tc>
          <w:tcPr>
            <w:tcW w:w="647" w:type="dxa"/>
            <w:vAlign w:val="center"/>
          </w:tcPr>
          <w:p>
            <w:pPr>
              <w:tabs>
                <w:tab w:val="left" w:pos="360"/>
                <w:tab w:val="left" w:pos="840"/>
              </w:tabs>
              <w:spacing w:line="300" w:lineRule="auto"/>
              <w:jc w:val="center"/>
              <w:rPr>
                <w:rFonts w:hint="default" w:ascii="仿宋" w:hAnsi="仿宋" w:eastAsia="仿宋" w:cs="Times New Roman"/>
                <w:szCs w:val="20"/>
                <w:lang w:val="en-US" w:eastAsia="zh-CN"/>
              </w:rPr>
            </w:pPr>
            <w:r>
              <w:rPr>
                <w:rFonts w:hint="eastAsia" w:ascii="仿宋" w:hAnsi="仿宋" w:eastAsia="仿宋" w:cs="Times New Roman"/>
                <w:szCs w:val="20"/>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344" w:type="dxa"/>
            <w:vMerge w:val="restart"/>
            <w:vAlign w:val="center"/>
          </w:tcPr>
          <w:p>
            <w:pPr>
              <w:tabs>
                <w:tab w:val="left" w:pos="360"/>
                <w:tab w:val="left" w:pos="840"/>
              </w:tabs>
              <w:spacing w:line="300" w:lineRule="auto"/>
              <w:jc w:val="center"/>
              <w:rPr>
                <w:rFonts w:ascii="仿宋" w:hAnsi="仿宋" w:eastAsia="仿宋" w:cs="Times New Roman"/>
                <w:szCs w:val="20"/>
              </w:rPr>
            </w:pPr>
            <w:r>
              <w:rPr>
                <w:rFonts w:hint="eastAsia" w:ascii="仿宋" w:hAnsi="仿宋" w:eastAsia="仿宋" w:cs="Times New Roman"/>
                <w:szCs w:val="20"/>
                <w:lang w:val="en-US" w:eastAsia="zh-CN"/>
              </w:rPr>
              <w:t>资信</w:t>
            </w:r>
            <w:r>
              <w:rPr>
                <w:rFonts w:hint="eastAsia" w:ascii="仿宋" w:hAnsi="仿宋" w:eastAsia="仿宋" w:cs="Times New Roman"/>
                <w:szCs w:val="20"/>
              </w:rPr>
              <w:t>评分</w:t>
            </w:r>
          </w:p>
          <w:p>
            <w:pPr>
              <w:tabs>
                <w:tab w:val="left" w:pos="360"/>
                <w:tab w:val="left" w:pos="840"/>
              </w:tabs>
              <w:spacing w:line="300" w:lineRule="auto"/>
              <w:jc w:val="center"/>
              <w:rPr>
                <w:rFonts w:ascii="仿宋" w:hAnsi="仿宋" w:eastAsia="仿宋" w:cs="Times New Roman"/>
                <w:szCs w:val="20"/>
              </w:rPr>
            </w:pPr>
            <w:r>
              <w:rPr>
                <w:rFonts w:hint="eastAsia" w:ascii="仿宋" w:hAnsi="仿宋" w:eastAsia="仿宋" w:cs="Times New Roman"/>
                <w:szCs w:val="20"/>
              </w:rPr>
              <w:t>（共1</w:t>
            </w:r>
            <w:r>
              <w:rPr>
                <w:rFonts w:hint="eastAsia" w:ascii="仿宋" w:hAnsi="仿宋" w:eastAsia="仿宋" w:cs="Times New Roman"/>
                <w:szCs w:val="20"/>
                <w:lang w:val="en-US" w:eastAsia="zh-CN"/>
              </w:rPr>
              <w:t>5</w:t>
            </w:r>
            <w:r>
              <w:rPr>
                <w:rFonts w:hint="eastAsia" w:ascii="仿宋" w:hAnsi="仿宋" w:eastAsia="仿宋" w:cs="Times New Roman"/>
                <w:szCs w:val="20"/>
              </w:rPr>
              <w:t>分）</w:t>
            </w:r>
          </w:p>
        </w:tc>
        <w:tc>
          <w:tcPr>
            <w:tcW w:w="6881" w:type="dxa"/>
            <w:vAlign w:val="center"/>
          </w:tcPr>
          <w:p>
            <w:pPr>
              <w:rPr>
                <w:rFonts w:ascii="仿宋" w:hAnsi="仿宋" w:eastAsia="仿宋" w:cs="Times New Roman"/>
                <w:b/>
                <w:szCs w:val="20"/>
              </w:rPr>
            </w:pPr>
            <w:r>
              <w:rPr>
                <w:rFonts w:hint="eastAsia" w:ascii="仿宋" w:hAnsi="仿宋" w:eastAsia="仿宋" w:cs="Times New Roman"/>
                <w:b/>
                <w:szCs w:val="20"/>
              </w:rPr>
              <w:t>制造商研发能力</w:t>
            </w:r>
          </w:p>
          <w:p>
            <w:pPr>
              <w:pStyle w:val="9"/>
              <w:numPr>
                <w:ilvl w:val="0"/>
                <w:numId w:val="0"/>
              </w:numPr>
              <w:tabs>
                <w:tab w:val="left" w:pos="360"/>
                <w:tab w:val="left" w:pos="840"/>
              </w:tabs>
              <w:spacing w:line="300" w:lineRule="auto"/>
              <w:ind w:leftChars="0"/>
              <w:rPr>
                <w:rFonts w:ascii="仿宋" w:hAnsi="仿宋" w:eastAsia="仿宋"/>
                <w:szCs w:val="20"/>
              </w:rPr>
            </w:pPr>
            <w:r>
              <w:rPr>
                <w:rFonts w:hint="eastAsia" w:ascii="仿宋" w:hAnsi="仿宋" w:eastAsia="仿宋"/>
                <w:szCs w:val="20"/>
              </w:rPr>
              <w:t>制造商具有省级科技单位认定的工程技术研究中心的得</w:t>
            </w:r>
            <w:r>
              <w:rPr>
                <w:rFonts w:hint="eastAsia" w:ascii="仿宋" w:hAnsi="仿宋" w:eastAsia="仿宋"/>
                <w:szCs w:val="20"/>
                <w:lang w:val="en-US" w:eastAsia="zh-CN"/>
              </w:rPr>
              <w:t>2</w:t>
            </w:r>
            <w:r>
              <w:rPr>
                <w:rFonts w:hint="eastAsia" w:ascii="仿宋" w:hAnsi="仿宋" w:eastAsia="仿宋"/>
                <w:szCs w:val="20"/>
              </w:rPr>
              <w:t>分，提供认定单位的官网公示文件或截图证明加盖投标人公章，不提供或不符合不得分。</w:t>
            </w:r>
          </w:p>
        </w:tc>
        <w:tc>
          <w:tcPr>
            <w:tcW w:w="647" w:type="dxa"/>
            <w:vAlign w:val="center"/>
          </w:tcPr>
          <w:p>
            <w:pPr>
              <w:tabs>
                <w:tab w:val="left" w:pos="360"/>
                <w:tab w:val="left" w:pos="840"/>
              </w:tabs>
              <w:spacing w:line="300" w:lineRule="auto"/>
              <w:jc w:val="center"/>
              <w:rPr>
                <w:rFonts w:hint="eastAsia" w:ascii="仿宋" w:hAnsi="仿宋" w:eastAsia="仿宋" w:cs="Times New Roman"/>
                <w:szCs w:val="20"/>
                <w:lang w:eastAsia="zh-CN"/>
              </w:rPr>
            </w:pPr>
            <w:r>
              <w:rPr>
                <w:rFonts w:hint="eastAsia" w:ascii="仿宋" w:hAnsi="仿宋" w:eastAsia="仿宋" w:cs="Times New Roman"/>
                <w:szCs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1344" w:type="dxa"/>
            <w:vMerge w:val="continue"/>
            <w:vAlign w:val="center"/>
          </w:tcPr>
          <w:p>
            <w:pPr>
              <w:tabs>
                <w:tab w:val="left" w:pos="360"/>
                <w:tab w:val="left" w:pos="840"/>
              </w:tabs>
              <w:spacing w:line="300" w:lineRule="auto"/>
              <w:jc w:val="center"/>
              <w:rPr>
                <w:rFonts w:ascii="仿宋" w:hAnsi="仿宋" w:eastAsia="仿宋" w:cs="Times New Roman"/>
                <w:szCs w:val="20"/>
              </w:rPr>
            </w:pPr>
          </w:p>
        </w:tc>
        <w:tc>
          <w:tcPr>
            <w:tcW w:w="6881" w:type="dxa"/>
            <w:vAlign w:val="center"/>
          </w:tcPr>
          <w:p>
            <w:pPr>
              <w:rPr>
                <w:rFonts w:ascii="仿宋" w:hAnsi="仿宋" w:eastAsia="仿宋" w:cstheme="minorEastAsia"/>
                <w:szCs w:val="20"/>
              </w:rPr>
            </w:pPr>
            <w:r>
              <w:rPr>
                <w:rFonts w:hint="eastAsia" w:ascii="仿宋" w:hAnsi="仿宋" w:eastAsia="仿宋" w:cstheme="minorEastAsia"/>
                <w:b/>
                <w:szCs w:val="20"/>
              </w:rPr>
              <w:t>制造商综合实力</w:t>
            </w:r>
          </w:p>
          <w:p>
            <w:pPr>
              <w:pStyle w:val="9"/>
              <w:numPr>
                <w:ilvl w:val="0"/>
                <w:numId w:val="0"/>
              </w:numPr>
              <w:tabs>
                <w:tab w:val="left" w:pos="360"/>
                <w:tab w:val="left" w:pos="840"/>
              </w:tabs>
              <w:spacing w:line="300" w:lineRule="auto"/>
              <w:ind w:leftChars="0"/>
              <w:rPr>
                <w:rFonts w:ascii="仿宋" w:hAnsi="仿宋" w:eastAsia="仿宋" w:cstheme="minorEastAsia"/>
                <w:szCs w:val="20"/>
              </w:rPr>
            </w:pPr>
            <w:r>
              <w:rPr>
                <w:rFonts w:hint="eastAsia" w:ascii="仿宋" w:hAnsi="仿宋" w:eastAsia="仿宋" w:cstheme="minorEastAsia"/>
                <w:szCs w:val="20"/>
                <w:lang w:val="en-US" w:eastAsia="zh-CN"/>
              </w:rPr>
              <w:t>1.</w:t>
            </w:r>
            <w:r>
              <w:rPr>
                <w:rFonts w:hint="eastAsia" w:ascii="仿宋" w:hAnsi="仿宋" w:eastAsia="仿宋" w:cstheme="minorEastAsia"/>
                <w:szCs w:val="20"/>
              </w:rPr>
              <w:t>制造商具有ISO13485认证得2分，提供证书复印件加盖投标人公章。</w:t>
            </w:r>
          </w:p>
          <w:p>
            <w:pPr>
              <w:pStyle w:val="9"/>
              <w:numPr>
                <w:ilvl w:val="0"/>
                <w:numId w:val="0"/>
              </w:numPr>
              <w:tabs>
                <w:tab w:val="left" w:pos="360"/>
                <w:tab w:val="left" w:pos="840"/>
              </w:tabs>
              <w:spacing w:line="300" w:lineRule="auto"/>
              <w:ind w:leftChars="0"/>
              <w:rPr>
                <w:rFonts w:ascii="仿宋" w:hAnsi="仿宋" w:eastAsia="仿宋" w:cstheme="minorEastAsia"/>
                <w:szCs w:val="20"/>
              </w:rPr>
            </w:pPr>
            <w:r>
              <w:rPr>
                <w:rFonts w:hint="eastAsia" w:ascii="仿宋" w:hAnsi="仿宋" w:eastAsia="仿宋" w:cstheme="minorEastAsia"/>
                <w:szCs w:val="20"/>
                <w:lang w:val="en-US" w:eastAsia="zh-CN"/>
              </w:rPr>
              <w:t>2.</w:t>
            </w:r>
            <w:r>
              <w:rPr>
                <w:rFonts w:hint="eastAsia" w:ascii="仿宋" w:hAnsi="仿宋" w:eastAsia="仿宋" w:cstheme="minorEastAsia"/>
                <w:szCs w:val="20"/>
              </w:rPr>
              <w:t>制造商具有ISO27001信息安全管理体系认证证书得2分，提供证书复印件加盖投标人公章。</w:t>
            </w:r>
          </w:p>
          <w:p>
            <w:pPr>
              <w:pStyle w:val="9"/>
              <w:numPr>
                <w:ilvl w:val="0"/>
                <w:numId w:val="0"/>
              </w:numPr>
              <w:tabs>
                <w:tab w:val="left" w:pos="360"/>
                <w:tab w:val="left" w:pos="840"/>
              </w:tabs>
              <w:spacing w:line="300" w:lineRule="auto"/>
              <w:ind w:leftChars="0"/>
              <w:rPr>
                <w:rFonts w:ascii="仿宋" w:hAnsi="仿宋" w:eastAsia="仿宋" w:cstheme="minorEastAsia"/>
                <w:szCs w:val="20"/>
              </w:rPr>
            </w:pPr>
            <w:r>
              <w:rPr>
                <w:rFonts w:hint="eastAsia" w:ascii="仿宋" w:hAnsi="仿宋" w:eastAsia="仿宋" w:cstheme="minorEastAsia"/>
                <w:szCs w:val="20"/>
                <w:lang w:val="en-US" w:eastAsia="zh-CN"/>
              </w:rPr>
              <w:t>3.</w:t>
            </w:r>
            <w:r>
              <w:rPr>
                <w:rFonts w:hint="eastAsia" w:ascii="仿宋" w:hAnsi="仿宋" w:eastAsia="仿宋" w:cstheme="minorEastAsia"/>
                <w:szCs w:val="20"/>
              </w:rPr>
              <w:t>制造商具有CMMI3或以上证书得2分，提供证书复印件加盖投标人公章。</w:t>
            </w:r>
          </w:p>
          <w:p>
            <w:pPr>
              <w:pStyle w:val="9"/>
              <w:numPr>
                <w:ilvl w:val="0"/>
                <w:numId w:val="0"/>
              </w:numPr>
              <w:tabs>
                <w:tab w:val="left" w:pos="360"/>
                <w:tab w:val="left" w:pos="840"/>
              </w:tabs>
              <w:spacing w:line="300" w:lineRule="auto"/>
              <w:ind w:leftChars="0"/>
              <w:rPr>
                <w:rFonts w:ascii="仿宋" w:hAnsi="仿宋" w:eastAsia="仿宋" w:cstheme="minorEastAsia"/>
                <w:szCs w:val="20"/>
              </w:rPr>
            </w:pPr>
            <w:r>
              <w:rPr>
                <w:rFonts w:hint="eastAsia" w:ascii="仿宋" w:hAnsi="仿宋" w:eastAsia="仿宋" w:cstheme="minorEastAsia"/>
                <w:szCs w:val="20"/>
                <w:lang w:val="en-US" w:eastAsia="zh-CN"/>
              </w:rPr>
              <w:t>4.</w:t>
            </w:r>
            <w:r>
              <w:rPr>
                <w:rFonts w:hint="eastAsia" w:ascii="仿宋" w:hAnsi="仿宋" w:eastAsia="仿宋" w:cstheme="minorEastAsia"/>
                <w:szCs w:val="20"/>
              </w:rPr>
              <w:t>制造商具有ISO20000信息技术服务管理体系认证证书得2分，提供证书复印件加盖投标人公章。</w:t>
            </w:r>
          </w:p>
          <w:p>
            <w:pPr>
              <w:pStyle w:val="9"/>
              <w:numPr>
                <w:ilvl w:val="0"/>
                <w:numId w:val="0"/>
              </w:numPr>
              <w:tabs>
                <w:tab w:val="left" w:pos="360"/>
                <w:tab w:val="left" w:pos="840"/>
              </w:tabs>
              <w:spacing w:line="300" w:lineRule="auto"/>
              <w:ind w:leftChars="0"/>
              <w:rPr>
                <w:rFonts w:ascii="仿宋" w:hAnsi="仿宋" w:eastAsia="仿宋"/>
                <w:szCs w:val="20"/>
              </w:rPr>
            </w:pPr>
            <w:r>
              <w:rPr>
                <w:rFonts w:hint="eastAsia" w:ascii="仿宋" w:hAnsi="仿宋" w:eastAsia="仿宋" w:cstheme="minorEastAsia"/>
                <w:szCs w:val="20"/>
                <w:lang w:val="en-US" w:eastAsia="zh-CN"/>
              </w:rPr>
              <w:t>5.</w:t>
            </w:r>
            <w:r>
              <w:rPr>
                <w:rFonts w:hint="eastAsia" w:ascii="仿宋" w:hAnsi="仿宋" w:eastAsia="仿宋" w:cstheme="minorEastAsia"/>
                <w:szCs w:val="20"/>
              </w:rPr>
              <w:t>制造商通过GB/T 29490-2013知识产权管理体系认证得2分，需提供证书复印件并加盖投标人</w:t>
            </w:r>
            <w:r>
              <w:rPr>
                <w:rFonts w:hint="eastAsia" w:ascii="仿宋" w:hAnsi="仿宋" w:eastAsia="仿宋" w:cstheme="minorEastAsia"/>
                <w:szCs w:val="20"/>
                <w:lang w:val="en-US" w:eastAsia="zh-CN"/>
              </w:rPr>
              <w:t>公</w:t>
            </w:r>
            <w:r>
              <w:rPr>
                <w:rFonts w:hint="eastAsia" w:ascii="仿宋" w:hAnsi="仿宋" w:eastAsia="仿宋" w:cstheme="minorEastAsia"/>
                <w:szCs w:val="20"/>
              </w:rPr>
              <w:t>章。</w:t>
            </w:r>
          </w:p>
        </w:tc>
        <w:tc>
          <w:tcPr>
            <w:tcW w:w="647" w:type="dxa"/>
            <w:vAlign w:val="center"/>
          </w:tcPr>
          <w:p>
            <w:pPr>
              <w:tabs>
                <w:tab w:val="left" w:pos="360"/>
                <w:tab w:val="left" w:pos="840"/>
              </w:tabs>
              <w:spacing w:line="300" w:lineRule="auto"/>
              <w:jc w:val="center"/>
              <w:rPr>
                <w:rFonts w:hint="eastAsia" w:ascii="仿宋" w:hAnsi="仿宋" w:eastAsia="仿宋" w:cs="Times New Roman"/>
                <w:szCs w:val="20"/>
                <w:lang w:val="en-US" w:eastAsia="zh-CN"/>
              </w:rPr>
            </w:pPr>
            <w:r>
              <w:rPr>
                <w:rFonts w:hint="eastAsia" w:ascii="仿宋" w:hAnsi="仿宋" w:eastAsia="仿宋" w:cstheme="minorEastAsia"/>
                <w:szCs w:val="20"/>
              </w:rPr>
              <w:t>1</w:t>
            </w:r>
            <w:r>
              <w:rPr>
                <w:rFonts w:hint="eastAsia" w:ascii="仿宋" w:hAnsi="仿宋" w:eastAsia="仿宋" w:cstheme="minorEastAsia"/>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44" w:type="dxa"/>
            <w:vMerge w:val="continue"/>
            <w:vAlign w:val="center"/>
          </w:tcPr>
          <w:p>
            <w:pPr>
              <w:tabs>
                <w:tab w:val="left" w:pos="360"/>
                <w:tab w:val="left" w:pos="840"/>
              </w:tabs>
              <w:spacing w:line="300" w:lineRule="auto"/>
              <w:jc w:val="center"/>
              <w:rPr>
                <w:rFonts w:ascii="仿宋" w:hAnsi="仿宋" w:eastAsia="仿宋" w:cs="Times New Roman"/>
                <w:szCs w:val="20"/>
              </w:rPr>
            </w:pPr>
          </w:p>
        </w:tc>
        <w:tc>
          <w:tcPr>
            <w:tcW w:w="6881" w:type="dxa"/>
            <w:vAlign w:val="center"/>
          </w:tcPr>
          <w:p>
            <w:pPr>
              <w:tabs>
                <w:tab w:val="left" w:pos="360"/>
                <w:tab w:val="left" w:pos="840"/>
              </w:tabs>
              <w:spacing w:line="300" w:lineRule="auto"/>
              <w:rPr>
                <w:rFonts w:ascii="仿宋" w:hAnsi="仿宋" w:eastAsia="仿宋" w:cs="Times New Roman"/>
                <w:b/>
                <w:szCs w:val="20"/>
              </w:rPr>
            </w:pPr>
            <w:r>
              <w:rPr>
                <w:rFonts w:hint="eastAsia" w:ascii="仿宋" w:hAnsi="仿宋" w:eastAsia="仿宋" w:cs="Times New Roman"/>
                <w:b/>
                <w:szCs w:val="20"/>
              </w:rPr>
              <w:t>售后服务情况</w:t>
            </w:r>
          </w:p>
          <w:p>
            <w:pPr>
              <w:tabs>
                <w:tab w:val="left" w:pos="360"/>
                <w:tab w:val="left" w:pos="840"/>
              </w:tabs>
              <w:spacing w:line="300" w:lineRule="auto"/>
              <w:rPr>
                <w:rFonts w:ascii="仿宋" w:hAnsi="仿宋" w:eastAsia="仿宋" w:cs="Times New Roman"/>
                <w:szCs w:val="20"/>
              </w:rPr>
            </w:pPr>
            <w:r>
              <w:rPr>
                <w:rFonts w:hint="eastAsia" w:ascii="仿宋" w:hAnsi="仿宋" w:eastAsia="仿宋" w:cs="Times New Roman"/>
                <w:szCs w:val="20"/>
              </w:rPr>
              <w:t>根据各投标人的售后服务承诺、售后服务内容进行评分，包括具体的售后服务内容、故障响应时间、响应方式，</w:t>
            </w:r>
            <w:r>
              <w:rPr>
                <w:rFonts w:hint="eastAsia" w:ascii="仿宋" w:hAnsi="仿宋" w:eastAsia="仿宋" w:cs="Times New Roman"/>
                <w:szCs w:val="20"/>
                <w:lang w:val="en-US" w:eastAsia="zh-CN"/>
              </w:rPr>
              <w:t>售后解决方案等</w:t>
            </w:r>
            <w:r>
              <w:rPr>
                <w:rFonts w:hint="eastAsia" w:ascii="仿宋" w:hAnsi="仿宋" w:eastAsia="仿宋" w:cs="Times New Roman"/>
                <w:szCs w:val="20"/>
              </w:rPr>
              <w:t>横向比较，综合评价优得</w:t>
            </w:r>
            <w:r>
              <w:rPr>
                <w:rFonts w:hint="eastAsia" w:ascii="仿宋" w:hAnsi="仿宋" w:eastAsia="仿宋" w:cs="Times New Roman"/>
                <w:szCs w:val="20"/>
                <w:lang w:val="en-US" w:eastAsia="zh-CN"/>
              </w:rPr>
              <w:t>3</w:t>
            </w:r>
            <w:r>
              <w:rPr>
                <w:rFonts w:hint="eastAsia" w:ascii="仿宋" w:hAnsi="仿宋" w:eastAsia="仿宋" w:cs="Times New Roman"/>
                <w:szCs w:val="20"/>
              </w:rPr>
              <w:t>分，综合评价</w:t>
            </w:r>
            <w:r>
              <w:rPr>
                <w:rFonts w:hint="eastAsia" w:ascii="仿宋" w:hAnsi="仿宋" w:eastAsia="仿宋" w:cs="Times New Roman"/>
                <w:szCs w:val="20"/>
                <w:lang w:val="en-US" w:eastAsia="zh-CN"/>
              </w:rPr>
              <w:t>良好</w:t>
            </w:r>
            <w:r>
              <w:rPr>
                <w:rFonts w:hint="eastAsia" w:ascii="仿宋" w:hAnsi="仿宋" w:eastAsia="仿宋" w:cs="Times New Roman"/>
                <w:szCs w:val="20"/>
              </w:rPr>
              <w:t>得</w:t>
            </w:r>
            <w:r>
              <w:rPr>
                <w:rFonts w:hint="eastAsia" w:ascii="仿宋" w:hAnsi="仿宋" w:eastAsia="仿宋" w:cs="Times New Roman"/>
                <w:szCs w:val="20"/>
                <w:lang w:val="en-US" w:eastAsia="zh-CN"/>
              </w:rPr>
              <w:t>2</w:t>
            </w:r>
            <w:r>
              <w:rPr>
                <w:rFonts w:hint="eastAsia" w:ascii="仿宋" w:hAnsi="仿宋" w:eastAsia="仿宋" w:cs="Times New Roman"/>
                <w:szCs w:val="20"/>
              </w:rPr>
              <w:t>分，综合评价</w:t>
            </w:r>
            <w:r>
              <w:rPr>
                <w:rFonts w:hint="eastAsia" w:ascii="仿宋" w:hAnsi="仿宋" w:eastAsia="仿宋" w:cs="Times New Roman"/>
                <w:szCs w:val="20"/>
                <w:lang w:val="en-US" w:eastAsia="zh-CN"/>
              </w:rPr>
              <w:t>一般</w:t>
            </w:r>
            <w:r>
              <w:rPr>
                <w:rFonts w:hint="eastAsia" w:ascii="仿宋" w:hAnsi="仿宋" w:eastAsia="仿宋" w:cs="Times New Roman"/>
                <w:szCs w:val="20"/>
              </w:rPr>
              <w:t>得</w:t>
            </w:r>
            <w:r>
              <w:rPr>
                <w:rFonts w:hint="eastAsia" w:ascii="仿宋" w:hAnsi="仿宋" w:eastAsia="仿宋" w:cs="Times New Roman"/>
                <w:szCs w:val="20"/>
                <w:lang w:val="en-US" w:eastAsia="zh-CN"/>
              </w:rPr>
              <w:t>1</w:t>
            </w:r>
            <w:r>
              <w:rPr>
                <w:rFonts w:hint="eastAsia" w:ascii="仿宋" w:hAnsi="仿宋" w:eastAsia="仿宋" w:cs="Times New Roman"/>
                <w:szCs w:val="20"/>
              </w:rPr>
              <w:t>分。</w:t>
            </w:r>
            <w:bookmarkStart w:id="0" w:name="_GoBack"/>
            <w:bookmarkEnd w:id="0"/>
          </w:p>
        </w:tc>
        <w:tc>
          <w:tcPr>
            <w:tcW w:w="647" w:type="dxa"/>
            <w:vAlign w:val="center"/>
          </w:tcPr>
          <w:p>
            <w:pPr>
              <w:tabs>
                <w:tab w:val="left" w:pos="360"/>
                <w:tab w:val="left" w:pos="840"/>
              </w:tabs>
              <w:spacing w:line="300" w:lineRule="auto"/>
              <w:jc w:val="center"/>
              <w:rPr>
                <w:rFonts w:hint="eastAsia" w:ascii="仿宋" w:hAnsi="仿宋" w:eastAsia="仿宋" w:cs="Times New Roman"/>
                <w:szCs w:val="20"/>
                <w:lang w:eastAsia="zh-CN"/>
              </w:rPr>
            </w:pPr>
            <w:r>
              <w:rPr>
                <w:rFonts w:hint="eastAsia" w:ascii="仿宋" w:hAnsi="仿宋" w:eastAsia="仿宋" w:cs="Times New Roman"/>
                <w:szCs w:val="20"/>
                <w:lang w:val="en-US" w:eastAsia="zh-CN"/>
              </w:rPr>
              <w:t>3</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238F"/>
    <w:rsid w:val="08191265"/>
    <w:rsid w:val="0A816EBF"/>
    <w:rsid w:val="19C96026"/>
    <w:rsid w:val="3C5F5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Indent"/>
    <w:basedOn w:val="1"/>
    <w:next w:val="4"/>
    <w:semiHidden/>
    <w:qFormat/>
    <w:uiPriority w:val="0"/>
    <w:pPr>
      <w:snapToGrid w:val="0"/>
      <w:spacing w:line="390" w:lineRule="atLeast"/>
      <w:ind w:left="525" w:firstLine="315"/>
    </w:pPr>
    <w:rPr>
      <w:rFonts w:ascii="宋体"/>
      <w:sz w:val="28"/>
      <w:szCs w:val="20"/>
    </w:rPr>
  </w:style>
  <w:style w:type="paragraph" w:styleId="4">
    <w:name w:val="envelope return"/>
    <w:basedOn w:val="1"/>
    <w:qFormat/>
    <w:uiPriority w:val="0"/>
    <w:pPr>
      <w:snapToGrid w:val="0"/>
    </w:pPr>
    <w:rPr>
      <w:rFonts w:ascii="Arial" w:hAnsi="Arial"/>
    </w:rPr>
  </w:style>
  <w:style w:type="paragraph" w:styleId="5">
    <w:name w:val="Body Text First Indent 2"/>
    <w:basedOn w:val="3"/>
    <w:next w:val="1"/>
    <w:qFormat/>
    <w:uiPriority w:val="0"/>
    <w:pPr>
      <w:ind w:firstLine="420" w:firstLineChars="200"/>
    </w:pPr>
  </w:style>
  <w:style w:type="table" w:customStyle="1" w:styleId="8">
    <w:name w:val="标书网格型表格正文1"/>
    <w:basedOn w:val="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周涛</cp:lastModifiedBy>
  <dcterms:modified xsi:type="dcterms:W3CDTF">2021-08-31T01:28:36Z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964FAF8B88684EEC90479951B1872F6C</vt:lpwstr>
  </property>
</Properties>
</file>