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40" w:lineRule="exact"/>
        <w:jc w:val="left"/>
        <w:outlineLvl w:val="2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附件6：评分办法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right="-334" w:rightChars="-159"/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资信评分细则（</w:t>
      </w:r>
      <w:r>
        <w:rPr>
          <w:rFonts w:hint="eastAsia" w:ascii="仿宋" w:hAnsi="仿宋" w:eastAsia="仿宋" w:cs="仿宋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1分）</w:t>
      </w:r>
    </w:p>
    <w:tbl>
      <w:tblPr>
        <w:tblStyle w:val="6"/>
        <w:tblW w:w="8994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756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实力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1、投标人具备有效期内的GB/T19001-2016idtISO 9001：2015质量管理体系、GB/ T24001-2016idtISO14001:2015环境管理体系、GB / T45001-2020 idt ISO45001: 2018职业健康安全管理体系认证证书，缺一项扣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分，扣完为止。总分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复印件加盖单位公章，原件在中标后提供备查。</w:t>
            </w:r>
          </w:p>
          <w:p>
            <w:pPr>
              <w:spacing w:line="312" w:lineRule="auto"/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2、投标人自2018年1月1日至今承接过一个单项合同金额50万元及以上安防类或智能化安装改造业绩的一个得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分；单项合同金额100万元及以上安防类或智能化安装改造业绩的一个得5分。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复印件加盖单位公章，原件在中标后提供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备查。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业绩累计计算，预中标人业绩公示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spacing w:line="440" w:lineRule="exact"/>
        <w:ind w:right="-334" w:rightChars="-159"/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right="-334" w:rightChars="-159"/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技术评分细则（</w:t>
      </w:r>
      <w:r>
        <w:rPr>
          <w:rFonts w:hint="eastAsia" w:ascii="仿宋" w:hAnsi="仿宋" w:eastAsia="仿宋" w:cs="仿宋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</w:p>
    <w:tbl>
      <w:tblPr>
        <w:tblStyle w:val="6"/>
        <w:tblW w:w="8918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34"/>
        <w:gridCol w:w="6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规格、技术性能参数及使用要求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技术响应：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根据投标人对本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项目报价清单中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项目特征描述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要求的响应情况进行评比，投标人完全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响应技术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要求的得3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分，带“★”号参数每负偏离一项，扣2分，扣完为止；非“★”号参数每负偏离一项扣1分，扣完为止。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根据报价清单中的要求提供相关证明材料，否则不予认可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产品生产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厂商实力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420" w:lineRule="exact"/>
              <w:ind w:left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1、所投监控摄像机、可视对讲报警主机、单兵巡更器等主要产品生产厂商具有信息安全资质，取得国家信息安全漏洞库一级技术支撑单位得3分，二级及以下的得1分（提供有效证明文件复印件加盖原厂公章）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420" w:lineRule="exact"/>
              <w:ind w:left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2、所投监控摄像机、可视对讲报警主机、单兵巡更器等主要产品生产厂商具有产品和平台CMMI5认证的得3分，CMMI4认证的得1分，其他不得分（提供有效证书加盖原厂公章）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420" w:lineRule="exact"/>
              <w:ind w:left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3、为响应国家节能环保要求，所投监控摄像机、可视对讲报警主机、单兵巡更器等主要产品生产厂商获得省级及以上绿色企业称号，得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分，否则不得分（提供有效证明文件复印件加盖原厂公章）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420" w:lineRule="exact"/>
              <w:ind w:left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交换机设备厂商服务口碑良好，在近三年的用户满意度调研中，连续三年获得“企业级网络设备服务满意度第一”，得3分，连续两年第一得2分；一年得1分，其余不得分；提供权威机构如IDC或CCW出具的证明文件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420" w:lineRule="exact"/>
              <w:ind w:left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交换机设备厂商能提供良好的运维服务，具有ITSS信息技术服务运行维护标准符合性认证（二级及以上）证书，得3分，二级以下得1分。提供证书复印件并加盖原厂公章；</w:t>
            </w:r>
          </w:p>
          <w:p>
            <w:pPr>
              <w:pStyle w:val="10"/>
              <w:numPr>
                <w:ilvl w:val="0"/>
                <w:numId w:val="0"/>
              </w:numPr>
              <w:spacing w:line="420" w:lineRule="exact"/>
              <w:ind w:left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为保障项目进度的正常进行和厂商良好的售后服务水平，交换机厂商具有十星级售后服务完善程度认证证书和ISO28000供应链安全管理体系认证证书，同时具有得3分，满足一条得1分。提供证书复印件加盖原厂公章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为保证售后服务的及时性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公司注册地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或设有办事机构点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在滁州市区（琅琊区/南谯区/经开区）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的得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其余不得分。提供相关证明材料</w:t>
            </w:r>
          </w:p>
        </w:tc>
      </w:tr>
    </w:tbl>
    <w:p>
      <w:pPr>
        <w:spacing w:line="440" w:lineRule="exact"/>
        <w:ind w:right="-334" w:rightChars="-159"/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right="-334" w:rightChars="-159"/>
        <w:rPr>
          <w:rFonts w:hint="eastAsia" w:ascii="仿宋" w:hAnsi="仿宋" w:eastAsia="仿宋" w:cs="仿宋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3.商务评分30分</w:t>
      </w:r>
    </w:p>
    <w:tbl>
      <w:tblPr>
        <w:tblStyle w:val="6"/>
        <w:tblW w:w="894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82"/>
        <w:gridCol w:w="7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>
            <w:pPr>
              <w:widowControl/>
              <w:spacing w:line="312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因素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评审细则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商务标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7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pacing w:line="312" w:lineRule="auto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采购人设置投标报价最高限价，投标人所报投标报价不得高于最高限价，否则将作为无效投标处理。</w:t>
            </w:r>
          </w:p>
          <w:p>
            <w:pPr>
              <w:spacing w:line="312" w:lineRule="auto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、投标人所报价格小数点后保留两位小数。</w:t>
            </w:r>
          </w:p>
          <w:p>
            <w:pPr>
              <w:tabs>
                <w:tab w:val="left" w:pos="1080"/>
              </w:tabs>
              <w:spacing w:line="312" w:lineRule="auto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、评标基准价=所有有效投标人的最低报价（含扣除后价格）；其得分为满分；</w:t>
            </w:r>
          </w:p>
          <w:p>
            <w:pPr>
              <w:tabs>
                <w:tab w:val="left" w:pos="1080"/>
              </w:tabs>
              <w:spacing w:line="312" w:lineRule="auto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、其它报价得分=评标基准价/投标报价（含扣除后价格）×30分，小数点后保留两位小数，第三位四舍五入；</w:t>
            </w:r>
          </w:p>
          <w:p>
            <w:pPr>
              <w:widowControl/>
              <w:spacing w:line="312" w:lineRule="auto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、本项分值由评标委员会负责组织计算。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特别说明</w:t>
      </w:r>
      <w:r>
        <w:rPr>
          <w:rFonts w:hint="eastAsia" w:ascii="仿宋" w:hAnsi="仿宋" w:eastAsia="仿宋" w:cs="仿宋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以上分值均保留二位小数，小数点后第三位四舍五入。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75"/>
    <w:rsid w:val="00360E75"/>
    <w:rsid w:val="00AA7CF8"/>
    <w:rsid w:val="00BF4FF4"/>
    <w:rsid w:val="00C972F4"/>
    <w:rsid w:val="00D97513"/>
    <w:rsid w:val="011E7A06"/>
    <w:rsid w:val="0ACF378D"/>
    <w:rsid w:val="19D949AC"/>
    <w:rsid w:val="1B7134A4"/>
    <w:rsid w:val="1E6E5F01"/>
    <w:rsid w:val="2434296F"/>
    <w:rsid w:val="252C639C"/>
    <w:rsid w:val="259D6BE1"/>
    <w:rsid w:val="2A497822"/>
    <w:rsid w:val="2C987C53"/>
    <w:rsid w:val="388C0E59"/>
    <w:rsid w:val="3FCC7A7E"/>
    <w:rsid w:val="41E12A27"/>
    <w:rsid w:val="42562BAD"/>
    <w:rsid w:val="4C177694"/>
    <w:rsid w:val="4E2A5FBC"/>
    <w:rsid w:val="653C239F"/>
    <w:rsid w:val="6CBE0BD8"/>
    <w:rsid w:val="70FE4668"/>
    <w:rsid w:val="725417C1"/>
    <w:rsid w:val="76FC2570"/>
    <w:rsid w:val="79A565C0"/>
    <w:rsid w:val="7B2B3FEA"/>
    <w:rsid w:val="7C14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8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正文首行缩进 2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1587</Characters>
  <Lines>13</Lines>
  <Paragraphs>3</Paragraphs>
  <TotalTime>51</TotalTime>
  <ScaleCrop>false</ScaleCrop>
  <LinksUpToDate>false</LinksUpToDate>
  <CharactersWithSpaces>1862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2021-11-03T08:43:00Z</dcterms:created>
  <dc:creator>闵敬功</dc:creator>
  <cp:lastModifiedBy>周涛</cp:lastModifiedBy>
  <cp:lastPrinted>2021-11-15T06:43:00Z</cp:lastPrinted>
  <dcterms:modified xsi:type="dcterms:W3CDTF">2021-11-17T00:13:25Z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36676ED94447482E97D0621D0A56A53B</vt:lpwstr>
  </property>
</Properties>
</file>