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评分标准</w:t>
      </w:r>
    </w:p>
    <w:tbl>
      <w:tblPr>
        <w:tblStyle w:val="7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00"/>
        <w:gridCol w:w="7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评审因素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投标报价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440" w:lineRule="exact"/>
              <w:ind w:left="40"/>
              <w:textAlignment w:val="auto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kern w:val="2"/>
                <w:szCs w:val="21"/>
              </w:rPr>
              <w:t>人设置投标报价最高限价，各投标人有效报价不得高于最高限价，否则，其投标文件按无效标处理。</w:t>
            </w:r>
          </w:p>
          <w:p>
            <w:pPr>
              <w:widowControl w:val="0"/>
              <w:tabs>
                <w:tab w:val="left" w:pos="1080"/>
              </w:tabs>
              <w:spacing w:line="440" w:lineRule="exact"/>
              <w:ind w:left="40"/>
              <w:textAlignment w:val="auto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1、评标基准价的确定=所有效投标人的最低报价（含扣除后价格）；</w:t>
            </w:r>
          </w:p>
          <w:p>
            <w:pPr>
              <w:widowControl w:val="0"/>
              <w:tabs>
                <w:tab w:val="left" w:pos="1080"/>
              </w:tabs>
              <w:spacing w:line="440" w:lineRule="exact"/>
              <w:ind w:left="40"/>
              <w:jc w:val="left"/>
              <w:textAlignment w:val="auto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2、投标报价得分=评标基准价/投标报价（含扣除后价格）×</w:t>
            </w:r>
            <w:r>
              <w:rPr>
                <w:rFonts w:ascii="宋体" w:hAnsi="宋体"/>
                <w:kern w:val="2"/>
                <w:szCs w:val="21"/>
              </w:rPr>
              <w:t>30</w:t>
            </w:r>
            <w:r>
              <w:rPr>
                <w:rFonts w:hint="eastAsia" w:ascii="宋体" w:hAnsi="宋体"/>
                <w:kern w:val="2"/>
                <w:szCs w:val="21"/>
              </w:rPr>
              <w:t>分，评分过程中，数据的计算过程和计算结果均保留两位小数，小数点后第三位四舍五入。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技术性能指标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及质保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所投产品的技术性能完全满足技术要求的得5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val="en-US" w:eastAsia="zh-CN"/>
              </w:rPr>
              <w:t>技术要求标注“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★</w:t>
            </w:r>
            <w:r>
              <w:rPr>
                <w:rFonts w:hint="eastAsia"/>
                <w:lang w:val="en-US" w:eastAsia="zh-CN"/>
              </w:rPr>
              <w:t>”的条款必须满足，否则为无效标；</w:t>
            </w:r>
            <w:r>
              <w:rPr>
                <w:rFonts w:hint="eastAsia"/>
              </w:rPr>
              <w:t>技术要求</w:t>
            </w:r>
            <w:r>
              <w:rPr>
                <w:rFonts w:hint="eastAsia"/>
                <w:lang w:val="en-US" w:eastAsia="zh-CN"/>
              </w:rPr>
              <w:t>一般</w:t>
            </w:r>
            <w:r>
              <w:rPr>
                <w:rFonts w:hint="eastAsia"/>
              </w:rPr>
              <w:t>条款每有一项不满足的扣5分，扣完为止。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注：产品所有技术要求必须提供相应的证明材料，否则视为不响应。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所有产品免费质保2年；</w:t>
            </w:r>
            <w:r>
              <w:rPr>
                <w:rFonts w:hint="eastAsia"/>
                <w:lang w:val="en-US" w:eastAsia="zh-CN"/>
              </w:rPr>
              <w:t>质保期</w:t>
            </w:r>
            <w:r>
              <w:rPr>
                <w:rFonts w:hint="eastAsia"/>
              </w:rPr>
              <w:t>每延长一年加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分，最高得分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注：提供响应承诺书加盖公章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2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业绩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提供自201</w:t>
            </w: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年1月1日以来，所投产品在三甲医院的供货合同，每提供一个得2分，满分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</w:t>
            </w:r>
          </w:p>
          <w:p>
            <w:r>
              <w:rPr>
                <w:rFonts w:hint="eastAsia" w:ascii="宋体" w:hAnsi="宋体" w:cs="宋体"/>
                <w:szCs w:val="21"/>
              </w:rPr>
              <w:t>1、提供合同等相关证明材料，业绩时间以合同签订时间为准复印件加盖公章。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、医院等级证明须提供医院官方网站截图或国家卫健委网站查询截图。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未按上述要求提供的或提供的不符要求的，不得分。</w:t>
            </w:r>
            <w:bookmarkStart w:id="0" w:name="_GoBack"/>
            <w:bookmarkEnd w:id="0"/>
          </w:p>
        </w:tc>
      </w:tr>
    </w:tbl>
    <w:p>
      <w:pPr>
        <w:shd w:val="clear" w:color="auto" w:fill="FFFFFF"/>
        <w:spacing w:line="360" w:lineRule="exact"/>
        <w:jc w:val="left"/>
        <w:rPr>
          <w:rFonts w:ascii="宋体" w:hAnsi="宋体" w:cs="宋体"/>
          <w:b/>
          <w:bCs/>
          <w:color w:val="auto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237"/>
    <w:rsid w:val="00231C84"/>
    <w:rsid w:val="00247248"/>
    <w:rsid w:val="002E35FB"/>
    <w:rsid w:val="00465237"/>
    <w:rsid w:val="00504402"/>
    <w:rsid w:val="00556CD8"/>
    <w:rsid w:val="006F35E8"/>
    <w:rsid w:val="007B48AC"/>
    <w:rsid w:val="0092438B"/>
    <w:rsid w:val="009B6126"/>
    <w:rsid w:val="009D6067"/>
    <w:rsid w:val="00A71A61"/>
    <w:rsid w:val="00AA7036"/>
    <w:rsid w:val="00C61E7B"/>
    <w:rsid w:val="00C65F64"/>
    <w:rsid w:val="00CE1B78"/>
    <w:rsid w:val="00E13A93"/>
    <w:rsid w:val="00E73D1E"/>
    <w:rsid w:val="032C2081"/>
    <w:rsid w:val="06350FC6"/>
    <w:rsid w:val="17255005"/>
    <w:rsid w:val="1D094E9B"/>
    <w:rsid w:val="1F7E03C6"/>
    <w:rsid w:val="31865C6E"/>
    <w:rsid w:val="34C656A6"/>
    <w:rsid w:val="37AE0EA7"/>
    <w:rsid w:val="37D84221"/>
    <w:rsid w:val="3E5B1265"/>
    <w:rsid w:val="4907292A"/>
    <w:rsid w:val="561C5C67"/>
    <w:rsid w:val="5BCC5A39"/>
    <w:rsid w:val="5DB70960"/>
    <w:rsid w:val="6B883210"/>
    <w:rsid w:val="7BC4545A"/>
    <w:rsid w:val="7D6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Calibri" w:hAnsi="Calibri" w:eastAsia="宋体" w:cs="Times New Roman"/>
      <w:color w:val="000000"/>
      <w:sz w:val="21"/>
      <w:u w:color="000000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宋体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Calibri" w:hAnsi="Calibri" w:eastAsia="宋体" w:cs="Times New Roman"/>
      <w:color w:val="000000"/>
      <w:sz w:val="18"/>
      <w:szCs w:val="18"/>
      <w:u w:color="000000"/>
    </w:rPr>
  </w:style>
  <w:style w:type="character" w:customStyle="1" w:styleId="10">
    <w:name w:val="页脚 Char"/>
    <w:basedOn w:val="8"/>
    <w:link w:val="5"/>
    <w:qFormat/>
    <w:uiPriority w:val="0"/>
    <w:rPr>
      <w:rFonts w:ascii="Calibri" w:hAnsi="Calibri" w:eastAsia="宋体" w:cs="Times New Roman"/>
      <w:color w:val="000000"/>
      <w:sz w:val="18"/>
      <w:szCs w:val="18"/>
      <w:u w:color="000000"/>
    </w:rPr>
  </w:style>
  <w:style w:type="character" w:customStyle="1" w:styleId="11">
    <w:name w:val="批注框文本 Char"/>
    <w:basedOn w:val="8"/>
    <w:link w:val="4"/>
    <w:qFormat/>
    <w:uiPriority w:val="0"/>
    <w:rPr>
      <w:rFonts w:ascii="Calibri" w:hAnsi="Calibri" w:eastAsia="宋体" w:cs="Times New Roman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cp:lastPrinted>2021-11-19T01:04:00Z</cp:lastPrinted>
  <dcterms:modified xsi:type="dcterms:W3CDTF">2021-11-26T03:05:44Z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41BC74B2079643939B539FABD99E7AC9</vt:lpwstr>
  </property>
</Properties>
</file>