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见附件</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b/>
          <w:sz w:val="36"/>
          <w:szCs w:val="36"/>
        </w:rPr>
      </w:pPr>
      <w:r>
        <w:rPr>
          <w:rFonts w:hint="eastAsia" w:ascii="仿宋" w:hAnsi="仿宋" w:eastAsia="仿宋" w:cs="仿宋"/>
          <w:sz w:val="28"/>
          <w:szCs w:val="28"/>
        </w:rPr>
        <w:t>备注：收款单位名称必须与投标单位名称一致，否则由此造成的保证金无法退还或迟延退还，我单位概不负责。</w:t>
      </w: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AE85F55"/>
    <w:rsid w:val="632F322E"/>
    <w:rsid w:val="63810003"/>
    <w:rsid w:val="649C0AAD"/>
    <w:rsid w:val="69530C3E"/>
    <w:rsid w:val="6D535020"/>
    <w:rsid w:val="716447E3"/>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2022-01-13T09:15:39Z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ED35030A825D48CC8BC94EDE652908ED</vt:lpwstr>
  </property>
</Properties>
</file>