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分标准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35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投标报价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440" w:lineRule="exact"/>
              <w:ind w:left="40"/>
              <w:textAlignment w:val="auto"/>
              <w:rPr>
                <w:rFonts w:hint="eastAsia" w:ascii="宋体" w:hAnsi="宋体" w:eastAsia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招标人设置投标报价最高限价，各投标人有效报价不得高于最高限价，否则，其投标文件按无效标处理。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textAlignment w:val="auto"/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评标基准价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的确定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=所有效投标人的最低报价（含扣除后价格）；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、投标报价得分=评标基准价/投标报价（含扣除后价格）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0分，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评分过程中，数据的计算过程和计算结果均保留两位小数，小数点后第三位四舍五入。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所投产</w:t>
            </w:r>
            <w:r>
              <w:rPr>
                <w:rFonts w:hint="eastAsia"/>
                <w:b w:val="0"/>
                <w:bCs w:val="0"/>
              </w:rPr>
              <w:t>品的技术性能完全满足</w:t>
            </w:r>
            <w:r>
              <w:rPr>
                <w:rFonts w:hint="eastAsia"/>
              </w:rPr>
              <w:t>招标文件要求的得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分；带“</w:t>
            </w: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/>
              </w:rPr>
              <w:t>”条款每有一项不满足的，</w:t>
            </w:r>
            <w:r>
              <w:rPr>
                <w:rFonts w:hint="eastAsia"/>
                <w:lang w:val="en-US" w:eastAsia="zh-CN"/>
              </w:rPr>
              <w:t>技术性能指标得分为0分，</w:t>
            </w:r>
            <w:r>
              <w:rPr>
                <w:rFonts w:hint="eastAsia"/>
              </w:rPr>
              <w:t>不带“</w:t>
            </w: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/>
              </w:rPr>
              <w:t>”的每有一项不满足扣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分，扣完为止。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1"/>
                <w:u w:val="none" w:color="000000"/>
                <w:lang w:val="en-US" w:eastAsia="zh-CN" w:bidi="ar-SA"/>
              </w:rPr>
              <w:t>注：按照附件2中的相关要求提供相应的证明材料，否则视为不响应。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工艺先进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、使用、维修方便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5分</w:t>
            </w:r>
          </w:p>
        </w:tc>
        <w:tc>
          <w:tcPr>
            <w:tcW w:w="742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1"/>
              <w:ind w:left="5" w:right="-15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1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产品生产加工工艺及制造水平一流，制造和组装精度高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使用和维修便利性高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行业领先，得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4-5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分；其他情况在1-3分之间酌情打分；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较差的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安全可靠性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5分</w:t>
            </w:r>
          </w:p>
        </w:tc>
        <w:tc>
          <w:tcPr>
            <w:tcW w:w="742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设备运行稳定，故障率低，安全性高，得4-5分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其他情况在1-3分之间酌情打分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；较差的不得分。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产品综合实力及市场信誉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10分</w:t>
            </w:r>
          </w:p>
        </w:tc>
        <w:tc>
          <w:tcPr>
            <w:tcW w:w="74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获得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医疗管理部门嘉奖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，产品获得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国家知识产权局颁发的专利证书，且市场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用户及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口碑信誉度较高的（必须提供证明材料），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评标委员会根据了解情况酌情打分。优秀得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6-10分，良好得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3-5分，一般得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u w:val="none" w:color="000000"/>
                <w:lang w:val="en-US" w:eastAsia="zh-CN" w:bidi="ar-SA"/>
              </w:rPr>
              <w:t>1-2分，较差的不得分。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以来，同类产品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（医用吊塔）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在三甲医院的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以上供货合同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每提供一个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分，满分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提供合同等相关证明材料，业绩时间以合同签订时间为准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合同内容或合同清单须体现吊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，如未体现上述内容须提供业主证明材料。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3、医院等级证明须提供医院官方网站截图或国家卫健委网站查询截图。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未按上述要求提供的或提供的不符要求的，不得分。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售后服务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在安徽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省设有常驻分公司或办事处，确保服务及时到位，2小时内响应，24小时内到达现场处理（提供分公司营业执照或办事处注册登记证明材料），且配备有专门售后服务人员，提供工程师证件扫描件。本项全部响应得5分，否则不得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shd w:val="clear" w:color="auto" w:fill="FFFFFF"/>
        <w:spacing w:line="360" w:lineRule="exact"/>
        <w:ind w:firstLine="420" w:firstLineChars="200"/>
        <w:jc w:val="left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</w:p>
    <w:p/>
    <w:sectPr>
      <w:pgSz w:w="11906" w:h="16838"/>
      <w:pgMar w:top="624" w:right="1134" w:bottom="62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0807"/>
    <w:rsid w:val="06350FC6"/>
    <w:rsid w:val="06E718C8"/>
    <w:rsid w:val="08AE53F4"/>
    <w:rsid w:val="0B9C06D5"/>
    <w:rsid w:val="0D483549"/>
    <w:rsid w:val="10A2775C"/>
    <w:rsid w:val="129306C9"/>
    <w:rsid w:val="1A727665"/>
    <w:rsid w:val="1B541EAF"/>
    <w:rsid w:val="1D094E9B"/>
    <w:rsid w:val="1F7E03C6"/>
    <w:rsid w:val="25107A85"/>
    <w:rsid w:val="290C6A42"/>
    <w:rsid w:val="2B0E3893"/>
    <w:rsid w:val="31865C6E"/>
    <w:rsid w:val="34C656A6"/>
    <w:rsid w:val="35FF0493"/>
    <w:rsid w:val="37AE0EA7"/>
    <w:rsid w:val="4907292A"/>
    <w:rsid w:val="49946C18"/>
    <w:rsid w:val="4D7F46A5"/>
    <w:rsid w:val="4F9F4F70"/>
    <w:rsid w:val="50521F46"/>
    <w:rsid w:val="598A5338"/>
    <w:rsid w:val="5AD30557"/>
    <w:rsid w:val="5B2C3141"/>
    <w:rsid w:val="5BCC5A39"/>
    <w:rsid w:val="5DB70960"/>
    <w:rsid w:val="6A440E91"/>
    <w:rsid w:val="6F4A2435"/>
    <w:rsid w:val="6F9250F8"/>
    <w:rsid w:val="6FB602B0"/>
    <w:rsid w:val="73A441A1"/>
    <w:rsid w:val="74E133FB"/>
    <w:rsid w:val="776C7C79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Calibri" w:hAnsi="Calibri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2022-02-14T07:53:55Z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41BC74B2079643939B539FABD99E7AC9</vt:lpwstr>
  </property>
</Properties>
</file>