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page" w:horzAnchor="page" w:tblpX="1654" w:tblpY="2478"/>
        <w:tblOverlap w:val="never"/>
        <w:tblW w:w="88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300"/>
        <w:gridCol w:w="5800"/>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50" w:type="dxa"/>
            <w:vAlign w:val="center"/>
          </w:tcPr>
          <w:p>
            <w:pPr>
              <w:keepNext w:val="0"/>
              <w:keepLines w:val="0"/>
              <w:pageBreakBefore w:val="0"/>
              <w:kinsoku/>
              <w:wordWrap/>
              <w:overflowPunct/>
              <w:topLinePunct w:val="0"/>
              <w:autoSpaceDE/>
              <w:autoSpaceDN/>
              <w:bidi w:val="0"/>
              <w:spacing w:line="240" w:lineRule="atLeast"/>
              <w:jc w:val="center"/>
              <w:textAlignment w:val="auto"/>
              <w:rPr>
                <w:rFonts w:ascii="宋体" w:hAnsi="宋体" w:eastAsia="宋体"/>
                <w:sz w:val="20"/>
                <w:szCs w:val="20"/>
              </w:rPr>
            </w:pPr>
            <w:r>
              <w:rPr>
                <w:rFonts w:hint="eastAsia" w:ascii="宋体" w:hAnsi="宋体" w:eastAsia="宋体"/>
                <w:sz w:val="20"/>
                <w:szCs w:val="20"/>
              </w:rPr>
              <w:t>序号</w:t>
            </w:r>
          </w:p>
        </w:tc>
        <w:tc>
          <w:tcPr>
            <w:tcW w:w="1300" w:type="dxa"/>
            <w:vAlign w:val="center"/>
          </w:tcPr>
          <w:p>
            <w:pPr>
              <w:keepNext w:val="0"/>
              <w:keepLines w:val="0"/>
              <w:pageBreakBefore w:val="0"/>
              <w:widowControl/>
              <w:kinsoku/>
              <w:wordWrap/>
              <w:overflowPunct/>
              <w:topLinePunct w:val="0"/>
              <w:autoSpaceDE/>
              <w:autoSpaceDN/>
              <w:bidi w:val="0"/>
              <w:spacing w:line="240" w:lineRule="atLeast"/>
              <w:jc w:val="center"/>
              <w:textAlignment w:val="auto"/>
              <w:rPr>
                <w:rFonts w:ascii="宋体" w:hAnsi="宋体" w:eastAsia="宋体" w:cs="宋体"/>
                <w:kern w:val="0"/>
                <w:sz w:val="20"/>
                <w:szCs w:val="20"/>
              </w:rPr>
            </w:pPr>
            <w:r>
              <w:rPr>
                <w:rFonts w:ascii="宋体" w:hAnsi="宋体" w:eastAsia="宋体" w:cs="宋体"/>
                <w:color w:val="000000"/>
                <w:kern w:val="0"/>
                <w:sz w:val="20"/>
                <w:szCs w:val="20"/>
              </w:rPr>
              <w:t>评审因素</w:t>
            </w:r>
          </w:p>
        </w:tc>
        <w:tc>
          <w:tcPr>
            <w:tcW w:w="5800" w:type="dxa"/>
            <w:vAlign w:val="center"/>
          </w:tcPr>
          <w:p>
            <w:pPr>
              <w:keepNext w:val="0"/>
              <w:keepLines w:val="0"/>
              <w:pageBreakBefore w:val="0"/>
              <w:kinsoku/>
              <w:wordWrap/>
              <w:overflowPunct/>
              <w:topLinePunct w:val="0"/>
              <w:autoSpaceDE/>
              <w:autoSpaceDN/>
              <w:bidi w:val="0"/>
              <w:spacing w:line="240" w:lineRule="atLeast"/>
              <w:jc w:val="center"/>
              <w:textAlignment w:val="auto"/>
              <w:rPr>
                <w:rFonts w:ascii="宋体" w:hAnsi="宋体" w:eastAsia="宋体"/>
                <w:sz w:val="20"/>
                <w:szCs w:val="20"/>
              </w:rPr>
            </w:pPr>
            <w:r>
              <w:rPr>
                <w:rFonts w:hint="eastAsia" w:ascii="宋体" w:hAnsi="宋体" w:eastAsia="宋体"/>
                <w:sz w:val="20"/>
                <w:szCs w:val="20"/>
              </w:rPr>
              <w:t>说明</w:t>
            </w:r>
          </w:p>
        </w:tc>
        <w:tc>
          <w:tcPr>
            <w:tcW w:w="766" w:type="dxa"/>
            <w:vAlign w:val="center"/>
          </w:tcPr>
          <w:p>
            <w:pPr>
              <w:keepNext w:val="0"/>
              <w:keepLines w:val="0"/>
              <w:pageBreakBefore w:val="0"/>
              <w:kinsoku/>
              <w:wordWrap/>
              <w:overflowPunct/>
              <w:topLinePunct w:val="0"/>
              <w:autoSpaceDE/>
              <w:autoSpaceDN/>
              <w:bidi w:val="0"/>
              <w:spacing w:line="240" w:lineRule="atLeast"/>
              <w:jc w:val="center"/>
              <w:textAlignment w:val="auto"/>
              <w:rPr>
                <w:rFonts w:ascii="宋体" w:hAnsi="宋体" w:eastAsia="宋体"/>
                <w:sz w:val="20"/>
                <w:szCs w:val="20"/>
              </w:rPr>
            </w:pPr>
            <w:r>
              <w:rPr>
                <w:rFonts w:hint="eastAsia" w:ascii="宋体" w:hAnsi="宋体" w:eastAsia="宋体"/>
                <w:sz w:val="20"/>
                <w:szCs w:val="2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50" w:type="dxa"/>
            <w:vAlign w:val="center"/>
          </w:tcPr>
          <w:p>
            <w:pPr>
              <w:keepNext w:val="0"/>
              <w:keepLines w:val="0"/>
              <w:pageBreakBefore w:val="0"/>
              <w:kinsoku/>
              <w:wordWrap/>
              <w:overflowPunct/>
              <w:topLinePunct w:val="0"/>
              <w:autoSpaceDE/>
              <w:autoSpaceDN/>
              <w:bidi w:val="0"/>
              <w:spacing w:line="240" w:lineRule="atLeast"/>
              <w:jc w:val="center"/>
              <w:textAlignment w:val="auto"/>
              <w:rPr>
                <w:rFonts w:ascii="宋体" w:hAnsi="宋体" w:eastAsia="宋体"/>
                <w:sz w:val="20"/>
                <w:szCs w:val="20"/>
              </w:rPr>
            </w:pPr>
            <w:r>
              <w:rPr>
                <w:rFonts w:hint="eastAsia" w:ascii="宋体" w:hAnsi="宋体" w:eastAsia="宋体"/>
                <w:sz w:val="20"/>
                <w:szCs w:val="20"/>
              </w:rPr>
              <w:t>1</w:t>
            </w:r>
          </w:p>
        </w:tc>
        <w:tc>
          <w:tcPr>
            <w:tcW w:w="1300" w:type="dxa"/>
            <w:vAlign w:val="center"/>
          </w:tcPr>
          <w:p>
            <w:pPr>
              <w:keepNext w:val="0"/>
              <w:keepLines w:val="0"/>
              <w:pageBreakBefore w:val="0"/>
              <w:widowControl/>
              <w:kinsoku/>
              <w:wordWrap/>
              <w:overflowPunct/>
              <w:topLinePunct w:val="0"/>
              <w:autoSpaceDE/>
              <w:autoSpaceDN/>
              <w:bidi w:val="0"/>
              <w:spacing w:line="240" w:lineRule="atLeast"/>
              <w:jc w:val="center"/>
              <w:textAlignment w:val="auto"/>
              <w:rPr>
                <w:rFonts w:ascii="宋体" w:hAnsi="宋体" w:eastAsia="宋体" w:cs="宋体"/>
                <w:color w:val="000000"/>
                <w:kern w:val="0"/>
                <w:sz w:val="20"/>
                <w:szCs w:val="20"/>
              </w:rPr>
            </w:pPr>
            <w:r>
              <w:rPr>
                <w:rFonts w:ascii="宋体" w:hAnsi="宋体" w:eastAsia="宋体" w:cs="宋体"/>
                <w:color w:val="000000"/>
                <w:kern w:val="0"/>
                <w:sz w:val="20"/>
                <w:szCs w:val="20"/>
              </w:rPr>
              <w:t>价格分</w:t>
            </w:r>
          </w:p>
          <w:p>
            <w:pPr>
              <w:keepNext w:val="0"/>
              <w:keepLines w:val="0"/>
              <w:pageBreakBefore w:val="0"/>
              <w:widowControl/>
              <w:kinsoku/>
              <w:wordWrap/>
              <w:overflowPunct/>
              <w:topLinePunct w:val="0"/>
              <w:autoSpaceDE/>
              <w:autoSpaceDN/>
              <w:bidi w:val="0"/>
              <w:spacing w:line="240" w:lineRule="atLeast"/>
              <w:jc w:val="center"/>
              <w:textAlignment w:val="auto"/>
              <w:rPr>
                <w:rFonts w:hint="default" w:ascii="宋体" w:hAnsi="宋体" w:eastAsia="宋体" w:cs="Times New Roman"/>
                <w:kern w:val="0"/>
                <w:sz w:val="20"/>
                <w:szCs w:val="20"/>
                <w:lang w:val="en-US" w:eastAsia="zh-CN"/>
              </w:rPr>
            </w:pP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lang w:val="en-US" w:eastAsia="zh-CN"/>
              </w:rPr>
              <w:t>30分）</w:t>
            </w:r>
          </w:p>
        </w:tc>
        <w:tc>
          <w:tcPr>
            <w:tcW w:w="5800" w:type="dxa"/>
            <w:vAlign w:val="center"/>
          </w:tcPr>
          <w:p>
            <w:pPr>
              <w:keepNext w:val="0"/>
              <w:keepLines w:val="0"/>
              <w:pageBreakBefore w:val="0"/>
              <w:kinsoku/>
              <w:wordWrap/>
              <w:overflowPunct/>
              <w:topLinePunct w:val="0"/>
              <w:autoSpaceDE/>
              <w:autoSpaceDN/>
              <w:bidi w:val="0"/>
              <w:spacing w:line="240" w:lineRule="atLeast"/>
              <w:jc w:val="left"/>
              <w:textAlignment w:val="auto"/>
              <w:rPr>
                <w:rFonts w:ascii="宋体" w:hAnsi="宋体" w:eastAsia="宋体"/>
                <w:sz w:val="20"/>
                <w:szCs w:val="20"/>
              </w:rPr>
            </w:pPr>
            <w:r>
              <w:rPr>
                <w:rFonts w:ascii="宋体" w:hAnsi="宋体" w:eastAsia="宋体"/>
                <w:color w:val="000000"/>
                <w:sz w:val="20"/>
                <w:szCs w:val="20"/>
              </w:rPr>
              <w:t>采用低价优先法计算，</w:t>
            </w:r>
            <w:r>
              <w:rPr>
                <w:rFonts w:hint="eastAsia" w:ascii="宋体" w:hAnsi="宋体" w:eastAsia="宋体"/>
                <w:color w:val="000000"/>
                <w:sz w:val="20"/>
                <w:szCs w:val="20"/>
              </w:rPr>
              <w:t>价格最低者得</w:t>
            </w:r>
            <w:r>
              <w:rPr>
                <w:rFonts w:hint="eastAsia" w:ascii="宋体" w:hAnsi="宋体" w:eastAsia="宋体"/>
                <w:color w:val="000000"/>
                <w:sz w:val="20"/>
                <w:szCs w:val="20"/>
                <w:lang w:val="en-US" w:eastAsia="zh-CN"/>
              </w:rPr>
              <w:t>3</w:t>
            </w:r>
            <w:r>
              <w:rPr>
                <w:rFonts w:ascii="宋体" w:hAnsi="宋体" w:eastAsia="宋体"/>
                <w:color w:val="000000"/>
                <w:sz w:val="20"/>
                <w:szCs w:val="20"/>
              </w:rPr>
              <w:t>0</w:t>
            </w:r>
            <w:r>
              <w:rPr>
                <w:rFonts w:hint="eastAsia" w:ascii="宋体" w:hAnsi="宋体" w:eastAsia="宋体"/>
                <w:color w:val="000000"/>
                <w:sz w:val="20"/>
                <w:szCs w:val="20"/>
              </w:rPr>
              <w:t>分，其它家得分=最低价/各家的</w:t>
            </w:r>
            <w:r>
              <w:rPr>
                <w:rFonts w:hint="eastAsia" w:ascii="宋体" w:hAnsi="宋体" w:eastAsia="宋体"/>
                <w:color w:val="000000"/>
                <w:sz w:val="20"/>
                <w:szCs w:val="20"/>
                <w:lang w:val="en-US" w:eastAsia="zh-CN"/>
              </w:rPr>
              <w:t>报</w:t>
            </w:r>
            <w:r>
              <w:rPr>
                <w:rFonts w:hint="eastAsia" w:ascii="宋体" w:hAnsi="宋体" w:eastAsia="宋体"/>
                <w:color w:val="000000"/>
                <w:sz w:val="20"/>
                <w:szCs w:val="20"/>
              </w:rPr>
              <w:t>价×</w:t>
            </w:r>
            <w:r>
              <w:rPr>
                <w:rFonts w:hint="eastAsia" w:ascii="宋体" w:hAnsi="宋体" w:eastAsia="宋体"/>
                <w:color w:val="000000"/>
                <w:sz w:val="20"/>
                <w:szCs w:val="20"/>
                <w:lang w:val="en-US" w:eastAsia="zh-CN"/>
              </w:rPr>
              <w:t>3</w:t>
            </w:r>
            <w:r>
              <w:rPr>
                <w:rFonts w:ascii="宋体" w:hAnsi="宋体" w:eastAsia="宋体"/>
                <w:color w:val="000000"/>
                <w:sz w:val="20"/>
                <w:szCs w:val="20"/>
              </w:rPr>
              <w:t>0</w:t>
            </w:r>
            <w:r>
              <w:rPr>
                <w:rFonts w:hint="eastAsia" w:ascii="宋体" w:hAnsi="宋体" w:eastAsia="宋体"/>
                <w:color w:val="000000"/>
                <w:sz w:val="20"/>
                <w:szCs w:val="20"/>
              </w:rPr>
              <w:t>分</w:t>
            </w:r>
          </w:p>
        </w:tc>
        <w:tc>
          <w:tcPr>
            <w:tcW w:w="766" w:type="dxa"/>
            <w:vAlign w:val="center"/>
          </w:tcPr>
          <w:p>
            <w:pPr>
              <w:keepNext w:val="0"/>
              <w:keepLines w:val="0"/>
              <w:pageBreakBefore w:val="0"/>
              <w:kinsoku/>
              <w:wordWrap/>
              <w:overflowPunct/>
              <w:topLinePunct w:val="0"/>
              <w:autoSpaceDE/>
              <w:autoSpaceDN/>
              <w:bidi w:val="0"/>
              <w:spacing w:line="240" w:lineRule="atLeast"/>
              <w:jc w:val="center"/>
              <w:textAlignment w:val="auto"/>
              <w:rPr>
                <w:rFonts w:hint="default" w:ascii="宋体" w:hAnsi="宋体" w:eastAsia="宋体"/>
                <w:sz w:val="20"/>
                <w:szCs w:val="20"/>
                <w:lang w:val="en-US" w:eastAsia="zh-CN"/>
              </w:rPr>
            </w:pPr>
            <w:r>
              <w:rPr>
                <w:rFonts w:hint="eastAsia" w:ascii="宋体" w:hAnsi="宋体" w:eastAsia="宋体"/>
                <w:sz w:val="20"/>
                <w:szCs w:val="20"/>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950" w:type="dxa"/>
            <w:vAlign w:val="center"/>
          </w:tcPr>
          <w:p>
            <w:pPr>
              <w:keepNext w:val="0"/>
              <w:keepLines w:val="0"/>
              <w:pageBreakBefore w:val="0"/>
              <w:kinsoku/>
              <w:wordWrap/>
              <w:overflowPunct/>
              <w:topLinePunct w:val="0"/>
              <w:autoSpaceDE/>
              <w:autoSpaceDN/>
              <w:bidi w:val="0"/>
              <w:spacing w:line="240" w:lineRule="atLeast"/>
              <w:jc w:val="center"/>
              <w:textAlignment w:val="auto"/>
              <w:rPr>
                <w:rFonts w:ascii="宋体" w:hAnsi="宋体" w:eastAsia="宋体"/>
                <w:sz w:val="20"/>
                <w:szCs w:val="20"/>
              </w:rPr>
            </w:pPr>
            <w:r>
              <w:rPr>
                <w:rFonts w:hint="eastAsia" w:ascii="宋体" w:hAnsi="宋体" w:eastAsia="宋体"/>
                <w:sz w:val="20"/>
                <w:szCs w:val="20"/>
              </w:rPr>
              <w:t>2</w:t>
            </w:r>
          </w:p>
        </w:tc>
        <w:tc>
          <w:tcPr>
            <w:tcW w:w="1300" w:type="dxa"/>
            <w:vAlign w:val="center"/>
          </w:tcPr>
          <w:p>
            <w:pPr>
              <w:keepNext w:val="0"/>
              <w:keepLines w:val="0"/>
              <w:pageBreakBefore w:val="0"/>
              <w:kinsoku/>
              <w:wordWrap/>
              <w:overflowPunct/>
              <w:topLinePunct w:val="0"/>
              <w:autoSpaceDE/>
              <w:autoSpaceDN/>
              <w:bidi w:val="0"/>
              <w:spacing w:line="240" w:lineRule="atLeast"/>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技术参数和配置</w:t>
            </w:r>
          </w:p>
          <w:p>
            <w:pPr>
              <w:keepNext w:val="0"/>
              <w:keepLines w:val="0"/>
              <w:pageBreakBefore w:val="0"/>
              <w:widowControl/>
              <w:kinsoku/>
              <w:wordWrap/>
              <w:overflowPunct/>
              <w:topLinePunct w:val="0"/>
              <w:autoSpaceDE/>
              <w:autoSpaceDN/>
              <w:bidi w:val="0"/>
              <w:spacing w:line="240" w:lineRule="atLeast"/>
              <w:jc w:val="center"/>
              <w:textAlignment w:val="auto"/>
              <w:rPr>
                <w:rFonts w:hint="eastAsia" w:ascii="宋体" w:hAnsi="宋体" w:eastAsia="宋体" w:cs="宋体"/>
                <w:kern w:val="0"/>
                <w:sz w:val="20"/>
                <w:szCs w:val="20"/>
                <w:lang w:eastAsia="zh-CN"/>
              </w:rPr>
            </w:pP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eastAsia="zh-CN"/>
              </w:rPr>
              <w:t>40</w:t>
            </w:r>
            <w:r>
              <w:rPr>
                <w:rFonts w:hint="eastAsia" w:ascii="宋体" w:hAnsi="宋体" w:eastAsia="宋体" w:cs="宋体"/>
                <w:color w:val="auto"/>
                <w:sz w:val="20"/>
                <w:szCs w:val="20"/>
                <w:highlight w:val="none"/>
              </w:rPr>
              <w:t>分</w:t>
            </w:r>
            <w:r>
              <w:rPr>
                <w:rFonts w:hint="eastAsia" w:ascii="宋体" w:hAnsi="宋体" w:eastAsia="宋体" w:cs="宋体"/>
                <w:color w:val="auto"/>
                <w:sz w:val="20"/>
                <w:szCs w:val="20"/>
                <w:highlight w:val="none"/>
                <w:lang w:eastAsia="zh-CN"/>
              </w:rPr>
              <w:t>）</w:t>
            </w:r>
          </w:p>
        </w:tc>
        <w:tc>
          <w:tcPr>
            <w:tcW w:w="5800" w:type="dxa"/>
            <w:vAlign w:val="center"/>
          </w:tcPr>
          <w:p>
            <w:pPr>
              <w:keepNext w:val="0"/>
              <w:keepLines w:val="0"/>
              <w:pageBreakBefore w:val="0"/>
              <w:kinsoku/>
              <w:wordWrap/>
              <w:overflowPunct/>
              <w:topLinePunct w:val="0"/>
              <w:autoSpaceDE/>
              <w:autoSpaceDN/>
              <w:bidi w:val="0"/>
              <w:spacing w:line="240" w:lineRule="atLeast"/>
              <w:jc w:val="left"/>
              <w:textAlignment w:val="auto"/>
              <w:rPr>
                <w:rFonts w:ascii="宋体" w:hAnsi="宋体" w:eastAsia="宋体"/>
                <w:color w:val="000000"/>
                <w:sz w:val="20"/>
                <w:szCs w:val="20"/>
              </w:rPr>
            </w:pPr>
            <w:r>
              <w:rPr>
                <w:rFonts w:hint="eastAsia" w:ascii="宋体" w:hAnsi="宋体" w:eastAsia="宋体" w:cs="宋体"/>
                <w:i w:val="0"/>
                <w:iCs w:val="0"/>
                <w:color w:val="000000"/>
                <w:kern w:val="0"/>
                <w:sz w:val="20"/>
                <w:szCs w:val="20"/>
                <w:u w:val="none"/>
                <w:lang w:val="en-US" w:eastAsia="zh-CN" w:bidi="ar"/>
              </w:rPr>
              <w:t>1.以投标供应商的响应情况为依据，进行评分，招标文件中标注★号的条款，为核心指标要求提供技术支持资料(功能截图加盖原厂公章) ，投标供应商必须提供相应的证明材料，逐条响应并全部响满足得 40 分，每有一条负偏离扣4分，扣完为止；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2.未标注★的条款，为防火墙基本参数，每有一条负偏离扣2</w:t>
            </w:r>
            <w:bookmarkStart w:id="0" w:name="_GoBack"/>
            <w:bookmarkEnd w:id="0"/>
            <w:r>
              <w:rPr>
                <w:rFonts w:hint="eastAsia" w:ascii="宋体" w:hAnsi="宋体" w:eastAsia="宋体" w:cs="宋体"/>
                <w:i w:val="0"/>
                <w:iCs w:val="0"/>
                <w:color w:val="000000"/>
                <w:kern w:val="0"/>
                <w:sz w:val="20"/>
                <w:szCs w:val="20"/>
                <w:u w:val="none"/>
                <w:lang w:val="en-US" w:eastAsia="zh-CN" w:bidi="ar"/>
              </w:rPr>
              <w:t>分，扣完为止。</w:t>
            </w:r>
          </w:p>
        </w:tc>
        <w:tc>
          <w:tcPr>
            <w:tcW w:w="766" w:type="dxa"/>
            <w:vAlign w:val="center"/>
          </w:tcPr>
          <w:p>
            <w:pPr>
              <w:keepNext w:val="0"/>
              <w:keepLines w:val="0"/>
              <w:pageBreakBefore w:val="0"/>
              <w:kinsoku/>
              <w:wordWrap/>
              <w:overflowPunct/>
              <w:topLinePunct w:val="0"/>
              <w:autoSpaceDE/>
              <w:autoSpaceDN/>
              <w:bidi w:val="0"/>
              <w:spacing w:line="240" w:lineRule="atLeast"/>
              <w:jc w:val="center"/>
              <w:textAlignment w:val="auto"/>
              <w:rPr>
                <w:rFonts w:hint="default" w:ascii="宋体" w:hAnsi="宋体" w:eastAsia="宋体"/>
                <w:sz w:val="20"/>
                <w:szCs w:val="20"/>
                <w:lang w:val="en-US" w:eastAsia="zh-CN"/>
              </w:rPr>
            </w:pPr>
            <w:r>
              <w:rPr>
                <w:rFonts w:hint="eastAsia" w:ascii="宋体" w:hAnsi="宋体" w:eastAsia="宋体"/>
                <w:sz w:val="20"/>
                <w:szCs w:val="20"/>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trPr>
        <w:tc>
          <w:tcPr>
            <w:tcW w:w="950" w:type="dxa"/>
            <w:vAlign w:val="center"/>
          </w:tcPr>
          <w:p>
            <w:pPr>
              <w:keepNext w:val="0"/>
              <w:keepLines w:val="0"/>
              <w:pageBreakBefore w:val="0"/>
              <w:kinsoku/>
              <w:wordWrap/>
              <w:overflowPunct/>
              <w:topLinePunct w:val="0"/>
              <w:autoSpaceDE/>
              <w:autoSpaceDN/>
              <w:bidi w:val="0"/>
              <w:spacing w:line="240" w:lineRule="atLeast"/>
              <w:jc w:val="center"/>
              <w:textAlignment w:val="auto"/>
              <w:rPr>
                <w:rFonts w:ascii="宋体" w:hAnsi="宋体" w:eastAsia="宋体"/>
                <w:sz w:val="20"/>
                <w:szCs w:val="20"/>
              </w:rPr>
            </w:pPr>
            <w:r>
              <w:rPr>
                <w:rFonts w:hint="eastAsia" w:ascii="宋体" w:hAnsi="宋体" w:eastAsia="宋体"/>
                <w:sz w:val="20"/>
                <w:szCs w:val="20"/>
              </w:rPr>
              <w:t>3</w:t>
            </w:r>
          </w:p>
        </w:tc>
        <w:tc>
          <w:tcPr>
            <w:tcW w:w="1300" w:type="dxa"/>
            <w:vAlign w:val="center"/>
          </w:tcPr>
          <w:p>
            <w:pPr>
              <w:keepNext w:val="0"/>
              <w:keepLines w:val="0"/>
              <w:pageBreakBefore w:val="0"/>
              <w:kinsoku/>
              <w:wordWrap/>
              <w:overflowPunct/>
              <w:topLinePunct w:val="0"/>
              <w:autoSpaceDE/>
              <w:autoSpaceDN/>
              <w:bidi w:val="0"/>
              <w:spacing w:line="240" w:lineRule="atLeast"/>
              <w:ind w:left="-38" w:leftChars="0"/>
              <w:jc w:val="center"/>
              <w:textAlignment w:val="auto"/>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投标人实力</w:t>
            </w:r>
          </w:p>
          <w:p>
            <w:pPr>
              <w:keepNext w:val="0"/>
              <w:keepLines w:val="0"/>
              <w:pageBreakBefore w:val="0"/>
              <w:kinsoku/>
              <w:wordWrap/>
              <w:overflowPunct/>
              <w:topLinePunct w:val="0"/>
              <w:autoSpaceDE/>
              <w:autoSpaceDN/>
              <w:bidi w:val="0"/>
              <w:spacing w:line="240" w:lineRule="atLeast"/>
              <w:ind w:left="-38" w:leftChars="0"/>
              <w:jc w:val="center"/>
              <w:textAlignment w:val="auto"/>
              <w:rPr>
                <w:rFonts w:ascii="宋体" w:hAnsi="宋体" w:eastAsia="宋体" w:cs="Times New Roman"/>
                <w:kern w:val="0"/>
                <w:sz w:val="20"/>
                <w:szCs w:val="20"/>
              </w:rPr>
            </w:pPr>
            <w:r>
              <w:rPr>
                <w:rFonts w:hint="eastAsia" w:ascii="宋体" w:hAnsi="宋体" w:eastAsia="宋体" w:cs="宋体"/>
                <w:color w:val="auto"/>
                <w:sz w:val="20"/>
                <w:szCs w:val="20"/>
              </w:rPr>
              <w:t>（</w:t>
            </w:r>
            <w:r>
              <w:rPr>
                <w:rFonts w:hint="eastAsia" w:ascii="宋体" w:hAnsi="宋体" w:eastAsia="宋体" w:cs="宋体"/>
                <w:color w:val="auto"/>
                <w:sz w:val="20"/>
                <w:szCs w:val="20"/>
                <w:lang w:val="en-US" w:eastAsia="zh-CN"/>
              </w:rPr>
              <w:t>4</w:t>
            </w:r>
            <w:r>
              <w:rPr>
                <w:rFonts w:hint="eastAsia" w:ascii="宋体" w:hAnsi="宋体" w:eastAsia="宋体" w:cs="宋体"/>
                <w:color w:val="auto"/>
                <w:sz w:val="20"/>
                <w:szCs w:val="20"/>
              </w:rPr>
              <w:t>分）</w:t>
            </w:r>
          </w:p>
        </w:tc>
        <w:tc>
          <w:tcPr>
            <w:tcW w:w="5800" w:type="dxa"/>
            <w:vAlign w:val="center"/>
          </w:tcPr>
          <w:p>
            <w:pPr>
              <w:keepNext w:val="0"/>
              <w:keepLines w:val="0"/>
              <w:pageBreakBefore w:val="0"/>
              <w:kinsoku/>
              <w:wordWrap/>
              <w:overflowPunct/>
              <w:topLinePunct w:val="0"/>
              <w:autoSpaceDE/>
              <w:autoSpaceDN/>
              <w:bidi w:val="0"/>
              <w:spacing w:line="240" w:lineRule="atLeast"/>
              <w:jc w:val="left"/>
              <w:textAlignment w:val="auto"/>
              <w:rPr>
                <w:rFonts w:ascii="宋体" w:hAnsi="宋体" w:eastAsia="宋体"/>
                <w:color w:val="000000"/>
                <w:sz w:val="20"/>
                <w:szCs w:val="20"/>
              </w:rPr>
            </w:pPr>
            <w:r>
              <w:rPr>
                <w:rFonts w:hint="eastAsia" w:ascii="宋体" w:hAnsi="宋体" w:eastAsia="宋体" w:cs="宋体"/>
                <w:i w:val="0"/>
                <w:iCs w:val="0"/>
                <w:color w:val="000000"/>
                <w:kern w:val="0"/>
                <w:sz w:val="20"/>
                <w:szCs w:val="20"/>
                <w:u w:val="none"/>
                <w:lang w:val="en-US" w:eastAsia="zh-CN" w:bidi="ar"/>
              </w:rPr>
              <w:t>1、投标人提供相关认证证书：环境管理体系认证、职业健康安全管理体系认证、质量管理体系认证、高新技术企业证书。评标委员会根据投标人提供证书情况评分，每提供一个得 1 分，共计 4 分，未提供不得分。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注：投标文件中提供相关证书复印件或扫描件。</w:t>
            </w:r>
          </w:p>
        </w:tc>
        <w:tc>
          <w:tcPr>
            <w:tcW w:w="766" w:type="dxa"/>
            <w:vAlign w:val="center"/>
          </w:tcPr>
          <w:p>
            <w:pPr>
              <w:keepNext w:val="0"/>
              <w:keepLines w:val="0"/>
              <w:pageBreakBefore w:val="0"/>
              <w:kinsoku/>
              <w:wordWrap/>
              <w:overflowPunct/>
              <w:topLinePunct w:val="0"/>
              <w:autoSpaceDE/>
              <w:autoSpaceDN/>
              <w:bidi w:val="0"/>
              <w:spacing w:line="240" w:lineRule="atLeast"/>
              <w:jc w:val="center"/>
              <w:textAlignment w:val="auto"/>
              <w:rPr>
                <w:rFonts w:hint="default" w:ascii="宋体" w:hAnsi="宋体" w:eastAsia="宋体"/>
                <w:sz w:val="20"/>
                <w:szCs w:val="20"/>
                <w:lang w:val="en-US" w:eastAsia="zh-CN"/>
              </w:rPr>
            </w:pPr>
            <w:r>
              <w:rPr>
                <w:rFonts w:hint="eastAsia" w:ascii="宋体" w:hAnsi="宋体" w:eastAsia="宋体"/>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950" w:type="dxa"/>
            <w:vAlign w:val="center"/>
          </w:tcPr>
          <w:p>
            <w:pPr>
              <w:keepNext w:val="0"/>
              <w:keepLines w:val="0"/>
              <w:pageBreakBefore w:val="0"/>
              <w:kinsoku/>
              <w:wordWrap/>
              <w:overflowPunct/>
              <w:topLinePunct w:val="0"/>
              <w:autoSpaceDE/>
              <w:autoSpaceDN/>
              <w:bidi w:val="0"/>
              <w:spacing w:line="240" w:lineRule="atLeast"/>
              <w:jc w:val="center"/>
              <w:textAlignment w:val="auto"/>
              <w:rPr>
                <w:rFonts w:ascii="宋体" w:hAnsi="宋体" w:eastAsia="宋体"/>
                <w:sz w:val="20"/>
                <w:szCs w:val="20"/>
              </w:rPr>
            </w:pPr>
            <w:r>
              <w:rPr>
                <w:rFonts w:hint="eastAsia" w:ascii="宋体" w:hAnsi="宋体" w:eastAsia="宋体"/>
                <w:sz w:val="20"/>
                <w:szCs w:val="20"/>
              </w:rPr>
              <w:t>4</w:t>
            </w:r>
          </w:p>
        </w:tc>
        <w:tc>
          <w:tcPr>
            <w:tcW w:w="1300" w:type="dxa"/>
            <w:vAlign w:val="center"/>
          </w:tcPr>
          <w:p>
            <w:pPr>
              <w:keepNext w:val="0"/>
              <w:keepLines w:val="0"/>
              <w:pageBreakBefore w:val="0"/>
              <w:kinsoku/>
              <w:wordWrap/>
              <w:overflowPunct/>
              <w:topLinePunct w:val="0"/>
              <w:autoSpaceDE/>
              <w:autoSpaceDN/>
              <w:bidi w:val="0"/>
              <w:spacing w:line="240" w:lineRule="atLeast"/>
              <w:ind w:left="-38" w:leftChars="0"/>
              <w:jc w:val="center"/>
              <w:textAlignment w:val="auto"/>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设备生产厂商资质及管理体系认证</w:t>
            </w:r>
          </w:p>
          <w:p>
            <w:pPr>
              <w:keepNext w:val="0"/>
              <w:keepLines w:val="0"/>
              <w:pageBreakBefore w:val="0"/>
              <w:kinsoku/>
              <w:wordWrap/>
              <w:overflowPunct/>
              <w:topLinePunct w:val="0"/>
              <w:autoSpaceDE/>
              <w:autoSpaceDN/>
              <w:bidi w:val="0"/>
              <w:spacing w:line="240" w:lineRule="atLeast"/>
              <w:ind w:left="-38" w:leftChars="0"/>
              <w:jc w:val="center"/>
              <w:textAlignment w:val="auto"/>
              <w:rPr>
                <w:sz w:val="20"/>
                <w:szCs w:val="21"/>
              </w:rPr>
            </w:pPr>
            <w:r>
              <w:rPr>
                <w:rFonts w:hint="eastAsia" w:ascii="宋体" w:hAnsi="宋体" w:eastAsia="宋体" w:cs="宋体"/>
                <w:color w:val="auto"/>
                <w:sz w:val="20"/>
                <w:szCs w:val="20"/>
                <w:lang w:val="en-US" w:eastAsia="zh-CN"/>
              </w:rPr>
              <w:t>（20分）</w:t>
            </w:r>
          </w:p>
        </w:tc>
        <w:tc>
          <w:tcPr>
            <w:tcW w:w="5800" w:type="dxa"/>
            <w:vAlign w:val="top"/>
          </w:tcPr>
          <w:p>
            <w:pPr>
              <w:keepNext w:val="0"/>
              <w:keepLines w:val="0"/>
              <w:pageBreakBefore w:val="0"/>
              <w:kinsoku/>
              <w:wordWrap/>
              <w:overflowPunct/>
              <w:topLinePunct w:val="0"/>
              <w:autoSpaceDE/>
              <w:autoSpaceDN/>
              <w:bidi w:val="0"/>
              <w:spacing w:line="240" w:lineRule="atLeast"/>
              <w:jc w:val="left"/>
              <w:textAlignment w:val="auto"/>
              <w:rPr>
                <w:rFonts w:ascii="宋体" w:hAnsi="宋体" w:eastAsia="宋体"/>
                <w:sz w:val="20"/>
                <w:szCs w:val="20"/>
              </w:rPr>
            </w:pPr>
            <w:r>
              <w:rPr>
                <w:rStyle w:val="12"/>
                <w:rFonts w:hint="eastAsia"/>
                <w:sz w:val="20"/>
                <w:szCs w:val="20"/>
                <w:lang w:val="en-US" w:eastAsia="zh-CN" w:bidi="ar"/>
              </w:rPr>
              <w:t>1、</w:t>
            </w:r>
            <w:r>
              <w:rPr>
                <w:rStyle w:val="12"/>
                <w:sz w:val="20"/>
                <w:szCs w:val="20"/>
                <w:lang w:val="en-US" w:eastAsia="zh-CN" w:bidi="ar"/>
              </w:rPr>
              <w:t>设备生产厂商获得由中国网络安全审查技术与认证中心（原中国信息安全认证中心）颁发的信息系统安全运维一级服务资质的得</w:t>
            </w:r>
            <w:r>
              <w:rPr>
                <w:rStyle w:val="12"/>
                <w:rFonts w:hint="eastAsia"/>
                <w:sz w:val="20"/>
                <w:szCs w:val="20"/>
                <w:lang w:val="en-US" w:eastAsia="zh-CN" w:bidi="ar"/>
              </w:rPr>
              <w:t>3</w:t>
            </w:r>
            <w:r>
              <w:rPr>
                <w:rStyle w:val="12"/>
                <w:sz w:val="20"/>
                <w:szCs w:val="20"/>
                <w:lang w:val="en-US" w:eastAsia="zh-CN" w:bidi="ar"/>
              </w:rPr>
              <w:t>分，二级的得2分，三级的得1分。</w:t>
            </w:r>
            <w:r>
              <w:rPr>
                <w:rStyle w:val="12"/>
                <w:sz w:val="20"/>
                <w:szCs w:val="20"/>
                <w:lang w:val="en-US" w:eastAsia="zh-CN" w:bidi="ar"/>
              </w:rPr>
              <w:br w:type="textWrapping"/>
            </w:r>
            <w:r>
              <w:rPr>
                <w:rStyle w:val="12"/>
                <w:rFonts w:hint="eastAsia"/>
                <w:sz w:val="20"/>
                <w:szCs w:val="20"/>
                <w:lang w:val="en-US" w:eastAsia="zh-CN" w:bidi="ar"/>
              </w:rPr>
              <w:t>2、</w:t>
            </w:r>
            <w:r>
              <w:rPr>
                <w:rStyle w:val="12"/>
                <w:sz w:val="20"/>
                <w:szCs w:val="20"/>
                <w:lang w:val="en-US" w:eastAsia="zh-CN" w:bidi="ar"/>
              </w:rPr>
              <w:t>设备生产厂商获得工业信息安全产业发展联盟颁发的工业信息安全测试评估机构能力认定，二级得</w:t>
            </w:r>
            <w:r>
              <w:rPr>
                <w:rStyle w:val="12"/>
                <w:rFonts w:hint="eastAsia"/>
                <w:sz w:val="20"/>
                <w:szCs w:val="20"/>
                <w:lang w:val="en-US" w:eastAsia="zh-CN" w:bidi="ar"/>
              </w:rPr>
              <w:t>3</w:t>
            </w:r>
            <w:r>
              <w:rPr>
                <w:rStyle w:val="12"/>
                <w:sz w:val="20"/>
                <w:szCs w:val="20"/>
                <w:lang w:val="en-US" w:eastAsia="zh-CN" w:bidi="ar"/>
              </w:rPr>
              <w:t>分，三级得1分，不满足不得分。</w:t>
            </w:r>
            <w:r>
              <w:rPr>
                <w:rStyle w:val="12"/>
                <w:sz w:val="20"/>
                <w:szCs w:val="20"/>
                <w:lang w:val="en-US" w:eastAsia="zh-CN" w:bidi="ar"/>
              </w:rPr>
              <w:br w:type="textWrapping"/>
            </w:r>
            <w:r>
              <w:rPr>
                <w:rStyle w:val="12"/>
                <w:rFonts w:hint="eastAsia"/>
                <w:sz w:val="20"/>
                <w:szCs w:val="20"/>
                <w:lang w:val="en-US" w:eastAsia="zh-CN" w:bidi="ar"/>
              </w:rPr>
              <w:t>3、</w:t>
            </w:r>
            <w:r>
              <w:rPr>
                <w:rStyle w:val="12"/>
                <w:sz w:val="20"/>
                <w:szCs w:val="20"/>
                <w:lang w:val="en-US" w:eastAsia="zh-CN" w:bidi="ar"/>
              </w:rPr>
              <w:t>设备生产厂商获得中国信息安全测评中心颁发的服务资质证书-安全开发类二级的得</w:t>
            </w:r>
            <w:r>
              <w:rPr>
                <w:rStyle w:val="12"/>
                <w:rFonts w:hint="eastAsia"/>
                <w:sz w:val="20"/>
                <w:szCs w:val="20"/>
                <w:lang w:val="en-US" w:eastAsia="zh-CN" w:bidi="ar"/>
              </w:rPr>
              <w:t>3</w:t>
            </w:r>
            <w:r>
              <w:rPr>
                <w:rStyle w:val="12"/>
                <w:sz w:val="20"/>
                <w:szCs w:val="20"/>
                <w:lang w:val="en-US" w:eastAsia="zh-CN" w:bidi="ar"/>
              </w:rPr>
              <w:t>分，一级的得1分。</w:t>
            </w:r>
            <w:r>
              <w:rPr>
                <w:rStyle w:val="12"/>
                <w:sz w:val="20"/>
                <w:szCs w:val="20"/>
                <w:lang w:val="en-US" w:eastAsia="zh-CN" w:bidi="ar"/>
              </w:rPr>
              <w:br w:type="textWrapping"/>
            </w:r>
            <w:r>
              <w:rPr>
                <w:rStyle w:val="12"/>
                <w:rFonts w:hint="eastAsia"/>
                <w:sz w:val="20"/>
                <w:szCs w:val="20"/>
                <w:lang w:val="en-US" w:eastAsia="zh-CN" w:bidi="ar"/>
              </w:rPr>
              <w:t>4、</w:t>
            </w:r>
            <w:r>
              <w:rPr>
                <w:rStyle w:val="12"/>
                <w:sz w:val="20"/>
                <w:szCs w:val="20"/>
                <w:lang w:val="en-US" w:eastAsia="zh-CN" w:bidi="ar"/>
              </w:rPr>
              <w:t>设备生产厂商参与制定《信息安全技术第二代防火墙安全技术要求》，请提供相关证明材料；满足得</w:t>
            </w:r>
            <w:r>
              <w:rPr>
                <w:rStyle w:val="12"/>
                <w:rFonts w:hint="eastAsia"/>
                <w:sz w:val="20"/>
                <w:szCs w:val="20"/>
                <w:lang w:val="en-US" w:eastAsia="zh-CN" w:bidi="ar"/>
              </w:rPr>
              <w:t>3</w:t>
            </w:r>
            <w:r>
              <w:rPr>
                <w:rStyle w:val="12"/>
                <w:sz w:val="20"/>
                <w:szCs w:val="20"/>
                <w:lang w:val="en-US" w:eastAsia="zh-CN" w:bidi="ar"/>
              </w:rPr>
              <w:t>分，不满足不得分。</w:t>
            </w:r>
            <w:r>
              <w:rPr>
                <w:rStyle w:val="12"/>
                <w:sz w:val="20"/>
                <w:szCs w:val="20"/>
                <w:lang w:val="en-US" w:eastAsia="zh-CN" w:bidi="ar"/>
              </w:rPr>
              <w:br w:type="textWrapping"/>
            </w:r>
            <w:r>
              <w:rPr>
                <w:rStyle w:val="12"/>
                <w:rFonts w:hint="eastAsia"/>
                <w:sz w:val="20"/>
                <w:szCs w:val="20"/>
                <w:lang w:val="en-US" w:eastAsia="zh-CN" w:bidi="ar"/>
              </w:rPr>
              <w:t>5、</w:t>
            </w:r>
            <w:r>
              <w:rPr>
                <w:rStyle w:val="12"/>
                <w:sz w:val="20"/>
                <w:szCs w:val="20"/>
                <w:lang w:val="en-US" w:eastAsia="zh-CN" w:bidi="ar"/>
              </w:rPr>
              <w:t>设备生产厂商获得中国信息安全测评中心颁发的国家信息安全漏洞库（CNNVD）技术支撑单位等级证书一级的得</w:t>
            </w:r>
            <w:r>
              <w:rPr>
                <w:rStyle w:val="12"/>
                <w:rFonts w:hint="eastAsia"/>
                <w:sz w:val="20"/>
                <w:szCs w:val="20"/>
                <w:lang w:val="en-US" w:eastAsia="zh-CN" w:bidi="ar"/>
              </w:rPr>
              <w:t>3</w:t>
            </w:r>
            <w:r>
              <w:rPr>
                <w:rStyle w:val="12"/>
                <w:sz w:val="20"/>
                <w:szCs w:val="20"/>
                <w:lang w:val="en-US" w:eastAsia="zh-CN" w:bidi="ar"/>
              </w:rPr>
              <w:t>分，二级的得2分，三级的得1分。</w:t>
            </w:r>
            <w:r>
              <w:rPr>
                <w:rStyle w:val="12"/>
                <w:sz w:val="20"/>
                <w:szCs w:val="20"/>
                <w:lang w:val="en-US" w:eastAsia="zh-CN" w:bidi="ar"/>
              </w:rPr>
              <w:br w:type="textWrapping"/>
            </w:r>
            <w:r>
              <w:rPr>
                <w:rStyle w:val="12"/>
                <w:rFonts w:hint="eastAsia"/>
                <w:sz w:val="20"/>
                <w:szCs w:val="20"/>
                <w:lang w:val="en-US" w:eastAsia="zh-CN" w:bidi="ar"/>
              </w:rPr>
              <w:t>6、</w:t>
            </w:r>
            <w:r>
              <w:rPr>
                <w:rStyle w:val="12"/>
                <w:sz w:val="20"/>
                <w:szCs w:val="20"/>
                <w:lang w:val="en-US" w:eastAsia="zh-CN" w:bidi="ar"/>
              </w:rPr>
              <w:t>设备生产厂商为微软MAPP合作伙伴，可以在微软每月发布安全更新之前获得漏洞信息；满足得5分，不满足不得分。</w:t>
            </w:r>
            <w:r>
              <w:rPr>
                <w:rStyle w:val="12"/>
                <w:sz w:val="20"/>
                <w:szCs w:val="20"/>
                <w:lang w:val="en-US" w:eastAsia="zh-CN" w:bidi="ar"/>
              </w:rPr>
              <w:br w:type="textWrapping"/>
            </w:r>
            <w:r>
              <w:rPr>
                <w:rStyle w:val="13"/>
                <w:sz w:val="20"/>
                <w:szCs w:val="20"/>
                <w:lang w:val="en-US" w:eastAsia="zh-CN" w:bidi="ar"/>
              </w:rPr>
              <w:t>备注：上述产品供应商实力证明等有效证明文件均需在有效期内，否则不得分。</w:t>
            </w:r>
          </w:p>
        </w:tc>
        <w:tc>
          <w:tcPr>
            <w:tcW w:w="766" w:type="dxa"/>
            <w:vAlign w:val="center"/>
          </w:tcPr>
          <w:p>
            <w:pPr>
              <w:keepNext w:val="0"/>
              <w:keepLines w:val="0"/>
              <w:pageBreakBefore w:val="0"/>
              <w:kinsoku/>
              <w:wordWrap/>
              <w:overflowPunct/>
              <w:topLinePunct w:val="0"/>
              <w:autoSpaceDE/>
              <w:autoSpaceDN/>
              <w:bidi w:val="0"/>
              <w:spacing w:line="240" w:lineRule="atLeast"/>
              <w:jc w:val="center"/>
              <w:textAlignment w:val="auto"/>
              <w:rPr>
                <w:rFonts w:hint="default" w:ascii="宋体" w:hAnsi="宋体" w:eastAsia="宋体"/>
                <w:sz w:val="20"/>
                <w:szCs w:val="20"/>
                <w:lang w:val="en-US" w:eastAsia="zh-CN"/>
              </w:rPr>
            </w:pPr>
            <w:r>
              <w:rPr>
                <w:rFonts w:hint="eastAsia" w:ascii="宋体" w:hAnsi="宋体" w:eastAsia="宋体"/>
                <w:sz w:val="20"/>
                <w:szCs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trPr>
        <w:tc>
          <w:tcPr>
            <w:tcW w:w="950" w:type="dxa"/>
            <w:vAlign w:val="center"/>
          </w:tcPr>
          <w:p>
            <w:pPr>
              <w:keepNext w:val="0"/>
              <w:keepLines w:val="0"/>
              <w:pageBreakBefore w:val="0"/>
              <w:kinsoku/>
              <w:wordWrap/>
              <w:overflowPunct/>
              <w:topLinePunct w:val="0"/>
              <w:autoSpaceDE/>
              <w:autoSpaceDN/>
              <w:bidi w:val="0"/>
              <w:spacing w:line="240" w:lineRule="atLeast"/>
              <w:jc w:val="center"/>
              <w:textAlignment w:val="auto"/>
              <w:rPr>
                <w:rFonts w:ascii="宋体" w:hAnsi="宋体" w:eastAsia="宋体"/>
                <w:sz w:val="20"/>
                <w:szCs w:val="20"/>
              </w:rPr>
            </w:pPr>
            <w:r>
              <w:rPr>
                <w:rFonts w:hint="eastAsia" w:ascii="宋体" w:hAnsi="宋体" w:eastAsia="宋体"/>
                <w:sz w:val="20"/>
                <w:szCs w:val="20"/>
              </w:rPr>
              <w:t>5</w:t>
            </w:r>
          </w:p>
        </w:tc>
        <w:tc>
          <w:tcPr>
            <w:tcW w:w="1300" w:type="dxa"/>
            <w:vAlign w:val="center"/>
          </w:tcPr>
          <w:p>
            <w:pPr>
              <w:keepNext w:val="0"/>
              <w:keepLines w:val="0"/>
              <w:pageBreakBefore w:val="0"/>
              <w:kinsoku/>
              <w:wordWrap/>
              <w:overflowPunct/>
              <w:topLinePunct w:val="0"/>
              <w:autoSpaceDE/>
              <w:autoSpaceDN/>
              <w:bidi w:val="0"/>
              <w:spacing w:line="240" w:lineRule="atLeast"/>
              <w:jc w:val="center"/>
              <w:textAlignment w:val="auto"/>
              <w:rPr>
                <w:rFonts w:hint="eastAsia" w:ascii="宋体" w:hAnsi="宋体" w:eastAsia="宋体" w:cs="宋体"/>
                <w:b w:val="0"/>
                <w:bCs w:val="0"/>
                <w:color w:val="auto"/>
                <w:sz w:val="20"/>
                <w:szCs w:val="20"/>
              </w:rPr>
            </w:pPr>
            <w:r>
              <w:rPr>
                <w:rFonts w:hint="eastAsia" w:ascii="宋体" w:hAnsi="宋体" w:eastAsia="宋体" w:cs="宋体"/>
                <w:i w:val="0"/>
                <w:iCs w:val="0"/>
                <w:color w:val="000000"/>
                <w:kern w:val="0"/>
                <w:sz w:val="20"/>
                <w:szCs w:val="20"/>
                <w:u w:val="none"/>
                <w:lang w:val="en-US" w:eastAsia="zh-CN" w:bidi="ar"/>
              </w:rPr>
              <w:t>技术方案</w:t>
            </w:r>
          </w:p>
          <w:p>
            <w:pPr>
              <w:keepNext w:val="0"/>
              <w:keepLines w:val="0"/>
              <w:pageBreakBefore w:val="0"/>
              <w:kinsoku/>
              <w:wordWrap/>
              <w:overflowPunct/>
              <w:topLinePunct w:val="0"/>
              <w:autoSpaceDE/>
              <w:autoSpaceDN/>
              <w:bidi w:val="0"/>
              <w:spacing w:line="240" w:lineRule="atLeast"/>
              <w:jc w:val="center"/>
              <w:textAlignment w:val="auto"/>
              <w:rPr>
                <w:rFonts w:ascii="宋体" w:hAnsi="宋体" w:eastAsia="宋体" w:cs="宋体"/>
                <w:b w:val="0"/>
                <w:bCs w:val="0"/>
                <w:kern w:val="0"/>
                <w:sz w:val="20"/>
                <w:szCs w:val="20"/>
              </w:rPr>
            </w:pPr>
            <w:r>
              <w:rPr>
                <w:rFonts w:hint="eastAsia" w:ascii="宋体" w:hAnsi="宋体" w:eastAsia="宋体" w:cs="宋体"/>
                <w:b w:val="0"/>
                <w:bCs w:val="0"/>
                <w:color w:val="auto"/>
                <w:sz w:val="20"/>
                <w:szCs w:val="20"/>
              </w:rPr>
              <w:t>（</w:t>
            </w:r>
            <w:r>
              <w:rPr>
                <w:rFonts w:hint="eastAsia" w:ascii="宋体" w:hAnsi="宋体" w:eastAsia="宋体" w:cs="宋体"/>
                <w:b w:val="0"/>
                <w:bCs w:val="0"/>
                <w:color w:val="auto"/>
                <w:sz w:val="20"/>
                <w:szCs w:val="20"/>
                <w:lang w:val="en-US" w:eastAsia="zh-CN"/>
              </w:rPr>
              <w:t>6</w:t>
            </w:r>
            <w:r>
              <w:rPr>
                <w:rFonts w:hint="eastAsia" w:ascii="宋体" w:hAnsi="宋体" w:eastAsia="宋体" w:cs="宋体"/>
                <w:b w:val="0"/>
                <w:bCs w:val="0"/>
                <w:color w:val="auto"/>
                <w:sz w:val="20"/>
                <w:szCs w:val="20"/>
              </w:rPr>
              <w:t>分）</w:t>
            </w:r>
          </w:p>
        </w:tc>
        <w:tc>
          <w:tcPr>
            <w:tcW w:w="5800" w:type="dxa"/>
            <w:vAlign w:val="top"/>
          </w:tcPr>
          <w:p>
            <w:pPr>
              <w:pStyle w:val="14"/>
              <w:keepNext w:val="0"/>
              <w:keepLines w:val="0"/>
              <w:pageBreakBefore w:val="0"/>
              <w:kinsoku/>
              <w:wordWrap/>
              <w:overflowPunct/>
              <w:topLinePunct w:val="0"/>
              <w:autoSpaceDE/>
              <w:autoSpaceDN/>
              <w:bidi w:val="0"/>
              <w:adjustRightInd w:val="0"/>
              <w:snapToGrid w:val="0"/>
              <w:spacing w:line="240" w:lineRule="atLeast"/>
              <w:jc w:val="both"/>
              <w:textAlignment w:val="auto"/>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1、评标委员会根据投标人提供的总体方案，从表述是否清晰、完整、严谨、先进合理、项目总体设计方案是否完整、可行、实用性强等方面综合评分，优3分，良2分，一般1分，没有不得分，满分3分。</w:t>
            </w:r>
          </w:p>
          <w:p>
            <w:pPr>
              <w:keepNext w:val="0"/>
              <w:keepLines w:val="0"/>
              <w:pageBreakBefore w:val="0"/>
              <w:kinsoku/>
              <w:wordWrap/>
              <w:overflowPunct/>
              <w:topLinePunct w:val="0"/>
              <w:autoSpaceDE/>
              <w:autoSpaceDN/>
              <w:bidi w:val="0"/>
              <w:spacing w:line="240" w:lineRule="atLeast"/>
              <w:jc w:val="left"/>
              <w:textAlignment w:val="auto"/>
              <w:rPr>
                <w:rFonts w:ascii="宋体" w:hAnsi="宋体" w:eastAsia="宋体"/>
                <w:b w:val="0"/>
                <w:bCs w:val="0"/>
                <w:color w:val="000000"/>
                <w:sz w:val="20"/>
                <w:szCs w:val="20"/>
              </w:rPr>
            </w:pPr>
            <w:r>
              <w:rPr>
                <w:rFonts w:hint="eastAsia" w:ascii="宋体" w:hAnsi="宋体" w:eastAsia="宋体" w:cs="宋体"/>
                <w:i w:val="0"/>
                <w:iCs w:val="0"/>
                <w:color w:val="000000"/>
                <w:kern w:val="0"/>
                <w:sz w:val="20"/>
                <w:szCs w:val="20"/>
                <w:u w:val="none"/>
                <w:lang w:val="en-US" w:eastAsia="zh-CN" w:bidi="ar"/>
              </w:rPr>
              <w:t>2、投标人的安装调试计划须包含：实施人员组织、服务响应时间、服务方式、服务团队、服务内容、服务计划合理性、培训方案等，评标委员会成员根据方案的优劣性进行评分，优3分，良2分，一般1分，没有不得分，满分3分。</w:t>
            </w:r>
          </w:p>
        </w:tc>
        <w:tc>
          <w:tcPr>
            <w:tcW w:w="766" w:type="dxa"/>
            <w:vAlign w:val="center"/>
          </w:tcPr>
          <w:p>
            <w:pPr>
              <w:keepNext w:val="0"/>
              <w:keepLines w:val="0"/>
              <w:pageBreakBefore w:val="0"/>
              <w:kinsoku/>
              <w:wordWrap/>
              <w:overflowPunct/>
              <w:topLinePunct w:val="0"/>
              <w:autoSpaceDE/>
              <w:autoSpaceDN/>
              <w:bidi w:val="0"/>
              <w:spacing w:line="240" w:lineRule="atLeast"/>
              <w:jc w:val="center"/>
              <w:textAlignment w:val="auto"/>
              <w:rPr>
                <w:rFonts w:hint="eastAsia" w:ascii="宋体" w:hAnsi="宋体" w:eastAsia="宋体"/>
                <w:sz w:val="20"/>
                <w:szCs w:val="20"/>
                <w:lang w:eastAsia="zh-CN"/>
              </w:rPr>
            </w:pPr>
            <w:r>
              <w:rPr>
                <w:rFonts w:hint="eastAsia" w:ascii="宋体" w:hAnsi="宋体" w:eastAsia="宋体"/>
                <w:sz w:val="20"/>
                <w:szCs w:val="20"/>
                <w:lang w:val="en-US" w:eastAsia="zh-CN"/>
              </w:rPr>
              <w:t>6</w:t>
            </w:r>
          </w:p>
        </w:tc>
      </w:tr>
    </w:tbl>
    <w:p>
      <w:pPr>
        <w:jc w:val="center"/>
        <w:rPr>
          <w:rFonts w:ascii="宋体" w:hAnsi="宋体" w:eastAsia="宋体"/>
          <w:sz w:val="40"/>
          <w:szCs w:val="40"/>
        </w:rPr>
      </w:pPr>
      <w:r>
        <w:rPr>
          <w:rFonts w:hint="eastAsia" w:ascii="宋体" w:hAnsi="宋体" w:eastAsia="宋体"/>
          <w:sz w:val="40"/>
          <w:szCs w:val="40"/>
          <w:lang w:val="en-US" w:eastAsia="zh-CN"/>
        </w:rPr>
        <w:t>综合</w:t>
      </w:r>
      <w:r>
        <w:rPr>
          <w:rFonts w:hint="eastAsia" w:ascii="宋体" w:hAnsi="宋体" w:eastAsia="宋体"/>
          <w:sz w:val="40"/>
          <w:szCs w:val="40"/>
        </w:rPr>
        <w:t>评分方法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wMzZjMjZhMzI5MDJkZmE2ZTVjMWJlODUzY2E1ZTIifQ=="/>
  </w:docVars>
  <w:rsids>
    <w:rsidRoot w:val="00864FE0"/>
    <w:rsid w:val="000D2CF6"/>
    <w:rsid w:val="000D7C1B"/>
    <w:rsid w:val="000F4B24"/>
    <w:rsid w:val="00184C9A"/>
    <w:rsid w:val="001A1A57"/>
    <w:rsid w:val="001C5993"/>
    <w:rsid w:val="002147E3"/>
    <w:rsid w:val="00226E6D"/>
    <w:rsid w:val="0024495C"/>
    <w:rsid w:val="00256E48"/>
    <w:rsid w:val="002C379E"/>
    <w:rsid w:val="00330EC5"/>
    <w:rsid w:val="003F6984"/>
    <w:rsid w:val="0041528C"/>
    <w:rsid w:val="00427A7B"/>
    <w:rsid w:val="00467427"/>
    <w:rsid w:val="005402E4"/>
    <w:rsid w:val="005424F7"/>
    <w:rsid w:val="006D746A"/>
    <w:rsid w:val="00703C05"/>
    <w:rsid w:val="00725D93"/>
    <w:rsid w:val="00766268"/>
    <w:rsid w:val="0076770F"/>
    <w:rsid w:val="007A5632"/>
    <w:rsid w:val="00864FE0"/>
    <w:rsid w:val="00910450"/>
    <w:rsid w:val="009321D2"/>
    <w:rsid w:val="0093471F"/>
    <w:rsid w:val="009678CB"/>
    <w:rsid w:val="00B01640"/>
    <w:rsid w:val="00B5322D"/>
    <w:rsid w:val="00BC365A"/>
    <w:rsid w:val="00C178DD"/>
    <w:rsid w:val="00C37C50"/>
    <w:rsid w:val="00C61E0E"/>
    <w:rsid w:val="00C73AEF"/>
    <w:rsid w:val="00C92932"/>
    <w:rsid w:val="00D12527"/>
    <w:rsid w:val="00E127CE"/>
    <w:rsid w:val="00E21D02"/>
    <w:rsid w:val="00E37E08"/>
    <w:rsid w:val="00ED598E"/>
    <w:rsid w:val="00F767C8"/>
    <w:rsid w:val="00FB3C3F"/>
    <w:rsid w:val="00FC48E7"/>
    <w:rsid w:val="00FE53E2"/>
    <w:rsid w:val="06FF4665"/>
    <w:rsid w:val="0DB94A80"/>
    <w:rsid w:val="0DE9690D"/>
    <w:rsid w:val="0DEC6577"/>
    <w:rsid w:val="0F17214C"/>
    <w:rsid w:val="144959B1"/>
    <w:rsid w:val="19BD63E6"/>
    <w:rsid w:val="1B6E0203"/>
    <w:rsid w:val="1DBC5625"/>
    <w:rsid w:val="21AE1D1E"/>
    <w:rsid w:val="26864004"/>
    <w:rsid w:val="2C952E29"/>
    <w:rsid w:val="2CA12ABB"/>
    <w:rsid w:val="32AB65BD"/>
    <w:rsid w:val="353017B4"/>
    <w:rsid w:val="367906C0"/>
    <w:rsid w:val="36B349A1"/>
    <w:rsid w:val="407469C6"/>
    <w:rsid w:val="4577128F"/>
    <w:rsid w:val="66065FEC"/>
    <w:rsid w:val="66427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1"/>
    <w:pPr>
      <w:ind w:left="100" w:right="102"/>
      <w:outlineLvl w:val="1"/>
    </w:pPr>
    <w:rPr>
      <w:rFonts w:ascii="Microsoft JhengHei" w:hAnsi="Microsoft JhengHei" w:eastAsia="Microsoft JhengHei" w:cs="Microsoft JhengHei"/>
      <w:b/>
      <w:bCs/>
      <w:sz w:val="32"/>
      <w:szCs w:val="32"/>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spacing w:after="120"/>
      <w:ind w:left="200" w:leftChars="200"/>
    </w:pPr>
  </w:style>
  <w:style w:type="paragraph" w:styleId="4">
    <w:name w:val="envelope return"/>
    <w:basedOn w:val="1"/>
    <w:qFormat/>
    <w:uiPriority w:val="0"/>
    <w:pPr>
      <w:snapToGrid w:val="0"/>
    </w:pPr>
    <w:rPr>
      <w:rFonts w:ascii="Arial" w:hAnsi="Arial"/>
    </w:r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semiHidden/>
    <w:qFormat/>
    <w:uiPriority w:val="99"/>
    <w:rPr>
      <w:sz w:val="18"/>
      <w:szCs w:val="18"/>
    </w:rPr>
  </w:style>
  <w:style w:type="character" w:customStyle="1" w:styleId="12">
    <w:name w:val="font21"/>
    <w:basedOn w:val="9"/>
    <w:qFormat/>
    <w:uiPriority w:val="0"/>
    <w:rPr>
      <w:rFonts w:hint="eastAsia" w:ascii="宋体" w:hAnsi="宋体" w:eastAsia="宋体" w:cs="宋体"/>
      <w:color w:val="000000"/>
      <w:sz w:val="24"/>
      <w:szCs w:val="24"/>
      <w:u w:val="none"/>
    </w:rPr>
  </w:style>
  <w:style w:type="character" w:customStyle="1" w:styleId="13">
    <w:name w:val="font11"/>
    <w:basedOn w:val="9"/>
    <w:qFormat/>
    <w:uiPriority w:val="0"/>
    <w:rPr>
      <w:rFonts w:hint="eastAsia" w:ascii="宋体" w:hAnsi="宋体" w:eastAsia="宋体" w:cs="宋体"/>
      <w:b/>
      <w:bCs/>
      <w:color w:val="000000"/>
      <w:sz w:val="24"/>
      <w:szCs w:val="24"/>
      <w:u w:val="none"/>
    </w:rPr>
  </w:style>
  <w:style w:type="paragraph" w:customStyle="1" w:styleId="14">
    <w:name w:val="Table Paragraph"/>
    <w:basedOn w:val="1"/>
    <w:qFormat/>
    <w:uiPriority w:val="1"/>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963</Words>
  <Characters>981</Characters>
  <Lines>4</Lines>
  <Paragraphs>1</Paragraphs>
  <TotalTime>1</TotalTime>
  <ScaleCrop>false</ScaleCrop>
  <LinksUpToDate>false</LinksUpToDate>
  <CharactersWithSpaces>992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2020-01-14T00:19:00Z</dcterms:created>
  <dc:creator>njmucg</dc:creator>
  <cp:lastModifiedBy>无聊的老H</cp:lastModifiedBy>
  <dcterms:modified xsi:type="dcterms:W3CDTF">2022-07-25T02:52:48Z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5867B1435AD94243875256E5F7FEE183</vt:lpwstr>
  </property>
</Properties>
</file>