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2D2B" w14:textId="0161DF56" w:rsidR="00AA0BA8" w:rsidRDefault="00000000" w:rsidP="007A27D9">
      <w:pPr>
        <w:adjustRightInd w:val="0"/>
        <w:snapToGrid w:val="0"/>
        <w:spacing w:line="560" w:lineRule="exact"/>
        <w:ind w:firstLineChars="200" w:firstLine="562"/>
        <w:rPr>
          <w:rFonts w:ascii="仿宋" w:eastAsia="仿宋" w:hAnsi="仿宋" w:cs="仿宋"/>
          <w:b/>
          <w:bCs/>
          <w:color w:val="333333"/>
          <w:kern w:val="0"/>
          <w:sz w:val="28"/>
          <w:szCs w:val="28"/>
          <w:lang w:bidi="ar"/>
        </w:rPr>
      </w:pPr>
      <w:r>
        <w:rPr>
          <w:rFonts w:ascii="仿宋" w:eastAsia="仿宋" w:hAnsi="仿宋" w:cs="仿宋" w:hint="eastAsia"/>
          <w:b/>
          <w:bCs/>
          <w:color w:val="333333"/>
          <w:kern w:val="0"/>
          <w:sz w:val="28"/>
          <w:szCs w:val="28"/>
          <w:lang w:bidi="ar"/>
        </w:rPr>
        <w:t>附件二：</w:t>
      </w:r>
      <w:r w:rsidR="00F809C3">
        <w:rPr>
          <w:rFonts w:ascii="仿宋" w:eastAsia="仿宋" w:hAnsi="仿宋" w:cs="仿宋" w:hint="eastAsia"/>
          <w:b/>
          <w:bCs/>
          <w:color w:val="333333"/>
          <w:kern w:val="0"/>
          <w:sz w:val="28"/>
          <w:szCs w:val="28"/>
          <w:lang w:bidi="ar"/>
        </w:rPr>
        <w:t>清单、内容及要求</w:t>
      </w:r>
    </w:p>
    <w:p w14:paraId="137BFFC0" w14:textId="6E8D6100" w:rsidR="00C65728" w:rsidRDefault="00000000" w:rsidP="007A27D9">
      <w:pPr>
        <w:adjustRightInd w:val="0"/>
        <w:snapToGrid w:val="0"/>
        <w:spacing w:line="560" w:lineRule="exact"/>
        <w:ind w:firstLineChars="200" w:firstLine="562"/>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lang w:bidi="ar"/>
        </w:rPr>
        <w:t>投标清单：</w:t>
      </w:r>
    </w:p>
    <w:p w14:paraId="06A65461" w14:textId="77777777" w:rsidR="00244E6E" w:rsidRDefault="00244E6E" w:rsidP="00244E6E">
      <w:pPr>
        <w:jc w:val="center"/>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滁州市一院南区消防维保项目报价表</w:t>
      </w:r>
    </w:p>
    <w:tbl>
      <w:tblPr>
        <w:tblStyle w:val="a3"/>
        <w:tblW w:w="8592" w:type="dxa"/>
        <w:tblLayout w:type="fixed"/>
        <w:tblLook w:val="04A0" w:firstRow="1" w:lastRow="0" w:firstColumn="1" w:lastColumn="0" w:noHBand="0" w:noVBand="1"/>
      </w:tblPr>
      <w:tblGrid>
        <w:gridCol w:w="719"/>
        <w:gridCol w:w="1765"/>
        <w:gridCol w:w="1465"/>
        <w:gridCol w:w="1122"/>
        <w:gridCol w:w="1231"/>
        <w:gridCol w:w="1191"/>
        <w:gridCol w:w="1099"/>
      </w:tblGrid>
      <w:tr w:rsidR="00244E6E" w14:paraId="2B804FE2" w14:textId="77777777" w:rsidTr="00D552C0">
        <w:tc>
          <w:tcPr>
            <w:tcW w:w="719" w:type="dxa"/>
          </w:tcPr>
          <w:p w14:paraId="35FFC523" w14:textId="77777777" w:rsidR="00244E6E" w:rsidRDefault="00244E6E" w:rsidP="00D552C0">
            <w:pPr>
              <w:jc w:val="center"/>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序号</w:t>
            </w:r>
          </w:p>
        </w:tc>
        <w:tc>
          <w:tcPr>
            <w:tcW w:w="1765" w:type="dxa"/>
          </w:tcPr>
          <w:p w14:paraId="303A9686" w14:textId="77777777" w:rsidR="00244E6E" w:rsidRDefault="00244E6E" w:rsidP="00D552C0">
            <w:pPr>
              <w:jc w:val="center"/>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规 格</w:t>
            </w:r>
          </w:p>
        </w:tc>
        <w:tc>
          <w:tcPr>
            <w:tcW w:w="1465" w:type="dxa"/>
          </w:tcPr>
          <w:p w14:paraId="52AD5F1B" w14:textId="77777777" w:rsidR="00244E6E" w:rsidRDefault="00244E6E" w:rsidP="00D552C0">
            <w:pPr>
              <w:jc w:val="center"/>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单位</w:t>
            </w:r>
          </w:p>
        </w:tc>
        <w:tc>
          <w:tcPr>
            <w:tcW w:w="1122" w:type="dxa"/>
          </w:tcPr>
          <w:p w14:paraId="60267323" w14:textId="77777777" w:rsidR="00244E6E" w:rsidRDefault="00244E6E" w:rsidP="00D552C0">
            <w:pPr>
              <w:jc w:val="center"/>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数量</w:t>
            </w:r>
          </w:p>
        </w:tc>
        <w:tc>
          <w:tcPr>
            <w:tcW w:w="1231" w:type="dxa"/>
          </w:tcPr>
          <w:p w14:paraId="3E1BE7DF" w14:textId="77777777" w:rsidR="00244E6E" w:rsidRDefault="00244E6E" w:rsidP="00D552C0">
            <w:pPr>
              <w:jc w:val="center"/>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单价</w:t>
            </w:r>
          </w:p>
        </w:tc>
        <w:tc>
          <w:tcPr>
            <w:tcW w:w="1191" w:type="dxa"/>
          </w:tcPr>
          <w:p w14:paraId="4F9B2DE7" w14:textId="77777777" w:rsidR="00244E6E" w:rsidRDefault="00244E6E" w:rsidP="00D552C0">
            <w:pPr>
              <w:jc w:val="center"/>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合价</w:t>
            </w:r>
          </w:p>
        </w:tc>
        <w:tc>
          <w:tcPr>
            <w:tcW w:w="1099" w:type="dxa"/>
          </w:tcPr>
          <w:p w14:paraId="0F3CD33C" w14:textId="77777777" w:rsidR="00244E6E" w:rsidRDefault="00244E6E" w:rsidP="00D552C0">
            <w:pPr>
              <w:jc w:val="center"/>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备注</w:t>
            </w:r>
          </w:p>
        </w:tc>
      </w:tr>
      <w:tr w:rsidR="00244E6E" w14:paraId="5E5AD1BD" w14:textId="77777777" w:rsidTr="00D552C0">
        <w:trPr>
          <w:trHeight w:val="965"/>
        </w:trPr>
        <w:tc>
          <w:tcPr>
            <w:tcW w:w="719" w:type="dxa"/>
            <w:vAlign w:val="center"/>
          </w:tcPr>
          <w:p w14:paraId="74855595"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1</w:t>
            </w:r>
          </w:p>
        </w:tc>
        <w:tc>
          <w:tcPr>
            <w:tcW w:w="1765" w:type="dxa"/>
            <w:vAlign w:val="center"/>
          </w:tcPr>
          <w:p w14:paraId="3A313615" w14:textId="77777777" w:rsidR="00244E6E" w:rsidRDefault="00244E6E" w:rsidP="00D552C0">
            <w:pPr>
              <w:rPr>
                <w:rFonts w:ascii="仿宋" w:eastAsia="仿宋" w:hAnsi="仿宋" w:cs="仿宋"/>
                <w:b/>
                <w:bCs/>
                <w:color w:val="333333"/>
                <w:kern w:val="0"/>
                <w:sz w:val="24"/>
              </w:rPr>
            </w:pPr>
            <w:r>
              <w:rPr>
                <w:rFonts w:ascii="仿宋" w:eastAsia="仿宋" w:hAnsi="仿宋" w:cs="仿宋" w:hint="eastAsia"/>
                <w:b/>
                <w:bCs/>
                <w:color w:val="333333"/>
                <w:kern w:val="0"/>
                <w:sz w:val="24"/>
              </w:rPr>
              <w:t>南区急诊部、门诊部、住院部、行政楼消防系统维保费用</w:t>
            </w:r>
          </w:p>
        </w:tc>
        <w:tc>
          <w:tcPr>
            <w:tcW w:w="1465" w:type="dxa"/>
            <w:vAlign w:val="center"/>
          </w:tcPr>
          <w:p w14:paraId="0CF48E56"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平方米</w:t>
            </w:r>
          </w:p>
        </w:tc>
        <w:tc>
          <w:tcPr>
            <w:tcW w:w="1122" w:type="dxa"/>
            <w:vAlign w:val="center"/>
          </w:tcPr>
          <w:p w14:paraId="1D053064"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约12万</w:t>
            </w:r>
          </w:p>
        </w:tc>
        <w:tc>
          <w:tcPr>
            <w:tcW w:w="1231" w:type="dxa"/>
            <w:vAlign w:val="center"/>
          </w:tcPr>
          <w:p w14:paraId="6B1E3A2D" w14:textId="77777777" w:rsidR="00244E6E" w:rsidRDefault="00244E6E" w:rsidP="00D552C0">
            <w:pPr>
              <w:rPr>
                <w:rFonts w:ascii="仿宋" w:eastAsia="仿宋" w:hAnsi="仿宋" w:cs="仿宋"/>
                <w:b/>
                <w:bCs/>
                <w:color w:val="333333"/>
                <w:kern w:val="0"/>
                <w:sz w:val="24"/>
              </w:rPr>
            </w:pPr>
          </w:p>
        </w:tc>
        <w:tc>
          <w:tcPr>
            <w:tcW w:w="1191" w:type="dxa"/>
            <w:vAlign w:val="center"/>
          </w:tcPr>
          <w:p w14:paraId="01AAC5FD" w14:textId="77777777" w:rsidR="00244E6E" w:rsidRDefault="00244E6E" w:rsidP="00D552C0">
            <w:pPr>
              <w:rPr>
                <w:rFonts w:ascii="仿宋" w:eastAsia="仿宋" w:hAnsi="仿宋" w:cs="仿宋"/>
                <w:b/>
                <w:bCs/>
                <w:color w:val="333333"/>
                <w:kern w:val="0"/>
                <w:sz w:val="24"/>
              </w:rPr>
            </w:pPr>
          </w:p>
        </w:tc>
        <w:tc>
          <w:tcPr>
            <w:tcW w:w="1099" w:type="dxa"/>
            <w:vAlign w:val="center"/>
          </w:tcPr>
          <w:p w14:paraId="0F7A3548" w14:textId="77777777" w:rsidR="00244E6E" w:rsidRDefault="00244E6E" w:rsidP="00D552C0">
            <w:pPr>
              <w:rPr>
                <w:rFonts w:ascii="仿宋" w:eastAsia="仿宋" w:hAnsi="仿宋" w:cs="仿宋"/>
                <w:b/>
                <w:bCs/>
                <w:color w:val="333333"/>
                <w:kern w:val="0"/>
                <w:sz w:val="24"/>
              </w:rPr>
            </w:pPr>
          </w:p>
        </w:tc>
      </w:tr>
      <w:tr w:rsidR="00244E6E" w14:paraId="029C9E26" w14:textId="77777777" w:rsidTr="00D552C0">
        <w:trPr>
          <w:trHeight w:val="965"/>
        </w:trPr>
        <w:tc>
          <w:tcPr>
            <w:tcW w:w="719" w:type="dxa"/>
            <w:vAlign w:val="center"/>
          </w:tcPr>
          <w:p w14:paraId="5D2D348C"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2</w:t>
            </w:r>
          </w:p>
        </w:tc>
        <w:tc>
          <w:tcPr>
            <w:tcW w:w="1765" w:type="dxa"/>
            <w:vAlign w:val="center"/>
          </w:tcPr>
          <w:p w14:paraId="2A45C67D" w14:textId="77777777" w:rsidR="00244E6E" w:rsidRDefault="00244E6E" w:rsidP="00D552C0">
            <w:pPr>
              <w:rPr>
                <w:rFonts w:ascii="仿宋" w:eastAsia="仿宋" w:hAnsi="仿宋" w:cs="仿宋"/>
                <w:b/>
                <w:bCs/>
                <w:color w:val="333333"/>
                <w:kern w:val="0"/>
                <w:sz w:val="24"/>
              </w:rPr>
            </w:pPr>
            <w:r>
              <w:rPr>
                <w:rFonts w:ascii="仿宋" w:eastAsia="仿宋" w:hAnsi="仿宋" w:cs="仿宋" w:hint="eastAsia"/>
                <w:b/>
                <w:bCs/>
                <w:color w:val="333333"/>
                <w:kern w:val="0"/>
                <w:sz w:val="24"/>
              </w:rPr>
              <w:t>北区住院大楼消防系统及附属楼宇维保费用</w:t>
            </w:r>
          </w:p>
        </w:tc>
        <w:tc>
          <w:tcPr>
            <w:tcW w:w="1465" w:type="dxa"/>
            <w:vAlign w:val="center"/>
          </w:tcPr>
          <w:p w14:paraId="51DC64E7"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平方米</w:t>
            </w:r>
          </w:p>
        </w:tc>
        <w:tc>
          <w:tcPr>
            <w:tcW w:w="1122" w:type="dxa"/>
            <w:vAlign w:val="center"/>
          </w:tcPr>
          <w:p w14:paraId="0F17D44D"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约5万</w:t>
            </w:r>
          </w:p>
        </w:tc>
        <w:tc>
          <w:tcPr>
            <w:tcW w:w="1231" w:type="dxa"/>
            <w:vAlign w:val="center"/>
          </w:tcPr>
          <w:p w14:paraId="20385468" w14:textId="77777777" w:rsidR="00244E6E" w:rsidRDefault="00244E6E" w:rsidP="00D552C0">
            <w:pPr>
              <w:rPr>
                <w:rFonts w:ascii="仿宋" w:eastAsia="仿宋" w:hAnsi="仿宋" w:cs="仿宋"/>
                <w:b/>
                <w:bCs/>
                <w:color w:val="333333"/>
                <w:kern w:val="0"/>
                <w:sz w:val="24"/>
              </w:rPr>
            </w:pPr>
          </w:p>
        </w:tc>
        <w:tc>
          <w:tcPr>
            <w:tcW w:w="1191" w:type="dxa"/>
            <w:vAlign w:val="center"/>
          </w:tcPr>
          <w:p w14:paraId="2C0AE9BB" w14:textId="77777777" w:rsidR="00244E6E" w:rsidRDefault="00244E6E" w:rsidP="00D552C0">
            <w:pPr>
              <w:rPr>
                <w:rFonts w:ascii="仿宋" w:eastAsia="仿宋" w:hAnsi="仿宋" w:cs="仿宋"/>
                <w:b/>
                <w:bCs/>
                <w:color w:val="333333"/>
                <w:kern w:val="0"/>
                <w:sz w:val="24"/>
              </w:rPr>
            </w:pPr>
          </w:p>
        </w:tc>
        <w:tc>
          <w:tcPr>
            <w:tcW w:w="1099" w:type="dxa"/>
            <w:vAlign w:val="center"/>
          </w:tcPr>
          <w:p w14:paraId="39B57D81" w14:textId="77777777" w:rsidR="00244E6E" w:rsidRDefault="00244E6E" w:rsidP="00D552C0">
            <w:pPr>
              <w:rPr>
                <w:rFonts w:ascii="仿宋" w:eastAsia="仿宋" w:hAnsi="仿宋" w:cs="仿宋"/>
                <w:b/>
                <w:bCs/>
                <w:color w:val="333333"/>
                <w:kern w:val="0"/>
                <w:sz w:val="24"/>
              </w:rPr>
            </w:pPr>
          </w:p>
        </w:tc>
      </w:tr>
      <w:tr w:rsidR="00244E6E" w14:paraId="3DF17B85" w14:textId="77777777" w:rsidTr="00D552C0">
        <w:trPr>
          <w:trHeight w:val="965"/>
        </w:trPr>
        <w:tc>
          <w:tcPr>
            <w:tcW w:w="719" w:type="dxa"/>
            <w:vAlign w:val="center"/>
          </w:tcPr>
          <w:p w14:paraId="4D6BDAF1"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3</w:t>
            </w:r>
          </w:p>
        </w:tc>
        <w:tc>
          <w:tcPr>
            <w:tcW w:w="1765" w:type="dxa"/>
            <w:vAlign w:val="center"/>
          </w:tcPr>
          <w:p w14:paraId="3DBB1FCD" w14:textId="77777777" w:rsidR="00244E6E" w:rsidRDefault="00244E6E" w:rsidP="00D552C0">
            <w:pPr>
              <w:rPr>
                <w:rFonts w:ascii="仿宋" w:eastAsia="仿宋" w:hAnsi="仿宋" w:cs="仿宋"/>
                <w:b/>
                <w:bCs/>
                <w:color w:val="333333"/>
                <w:kern w:val="0"/>
                <w:sz w:val="24"/>
              </w:rPr>
            </w:pPr>
            <w:r>
              <w:rPr>
                <w:rFonts w:ascii="仿宋" w:eastAsia="仿宋" w:hAnsi="仿宋" w:cs="仿宋" w:hint="eastAsia"/>
                <w:b/>
                <w:bCs/>
                <w:color w:val="333333"/>
                <w:kern w:val="0"/>
                <w:sz w:val="24"/>
              </w:rPr>
              <w:t>儿童医院消防系统维保费用</w:t>
            </w:r>
          </w:p>
        </w:tc>
        <w:tc>
          <w:tcPr>
            <w:tcW w:w="1465" w:type="dxa"/>
            <w:vAlign w:val="center"/>
          </w:tcPr>
          <w:p w14:paraId="4EBFDA8E"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平方米</w:t>
            </w:r>
          </w:p>
        </w:tc>
        <w:tc>
          <w:tcPr>
            <w:tcW w:w="1122" w:type="dxa"/>
            <w:vAlign w:val="center"/>
          </w:tcPr>
          <w:p w14:paraId="313066AF"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约6.5万</w:t>
            </w:r>
          </w:p>
        </w:tc>
        <w:tc>
          <w:tcPr>
            <w:tcW w:w="1231" w:type="dxa"/>
            <w:vAlign w:val="center"/>
          </w:tcPr>
          <w:p w14:paraId="28E00D09" w14:textId="77777777" w:rsidR="00244E6E" w:rsidRDefault="00244E6E" w:rsidP="00D552C0">
            <w:pPr>
              <w:rPr>
                <w:rFonts w:ascii="仿宋" w:eastAsia="仿宋" w:hAnsi="仿宋" w:cs="仿宋"/>
                <w:b/>
                <w:bCs/>
                <w:color w:val="333333"/>
                <w:kern w:val="0"/>
                <w:sz w:val="24"/>
              </w:rPr>
            </w:pPr>
          </w:p>
        </w:tc>
        <w:tc>
          <w:tcPr>
            <w:tcW w:w="1191" w:type="dxa"/>
            <w:vAlign w:val="center"/>
          </w:tcPr>
          <w:p w14:paraId="3660D45B" w14:textId="77777777" w:rsidR="00244E6E" w:rsidRDefault="00244E6E" w:rsidP="00D552C0">
            <w:pPr>
              <w:rPr>
                <w:rFonts w:ascii="仿宋" w:eastAsia="仿宋" w:hAnsi="仿宋" w:cs="仿宋"/>
                <w:b/>
                <w:bCs/>
                <w:color w:val="333333"/>
                <w:kern w:val="0"/>
                <w:sz w:val="24"/>
              </w:rPr>
            </w:pPr>
          </w:p>
        </w:tc>
        <w:tc>
          <w:tcPr>
            <w:tcW w:w="1099" w:type="dxa"/>
            <w:vAlign w:val="center"/>
          </w:tcPr>
          <w:p w14:paraId="3BBF88D7" w14:textId="77777777" w:rsidR="00244E6E" w:rsidRDefault="00244E6E" w:rsidP="00D552C0">
            <w:pPr>
              <w:rPr>
                <w:rFonts w:ascii="仿宋" w:eastAsia="仿宋" w:hAnsi="仿宋" w:cs="仿宋"/>
                <w:b/>
                <w:bCs/>
                <w:color w:val="333333"/>
                <w:kern w:val="0"/>
                <w:sz w:val="24"/>
              </w:rPr>
            </w:pPr>
          </w:p>
        </w:tc>
      </w:tr>
      <w:tr w:rsidR="00244E6E" w14:paraId="5DF5F435" w14:textId="77777777" w:rsidTr="00D552C0">
        <w:trPr>
          <w:trHeight w:val="965"/>
        </w:trPr>
        <w:tc>
          <w:tcPr>
            <w:tcW w:w="719" w:type="dxa"/>
            <w:vAlign w:val="center"/>
          </w:tcPr>
          <w:p w14:paraId="741C67DE"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4</w:t>
            </w:r>
          </w:p>
        </w:tc>
        <w:tc>
          <w:tcPr>
            <w:tcW w:w="1765" w:type="dxa"/>
            <w:vAlign w:val="center"/>
          </w:tcPr>
          <w:p w14:paraId="00C9A597" w14:textId="77777777" w:rsidR="00244E6E" w:rsidRDefault="00244E6E" w:rsidP="00D552C0">
            <w:pPr>
              <w:rPr>
                <w:rFonts w:ascii="仿宋" w:eastAsia="仿宋" w:hAnsi="仿宋" w:cs="仿宋"/>
                <w:b/>
                <w:bCs/>
                <w:color w:val="333333"/>
                <w:kern w:val="0"/>
                <w:sz w:val="24"/>
              </w:rPr>
            </w:pPr>
            <w:r>
              <w:rPr>
                <w:rFonts w:ascii="仿宋" w:eastAsia="仿宋" w:hAnsi="仿宋" w:cs="仿宋" w:hint="eastAsia"/>
                <w:b/>
                <w:bCs/>
                <w:color w:val="333333"/>
                <w:kern w:val="0"/>
                <w:sz w:val="24"/>
              </w:rPr>
              <w:t>西区消防系统及附属楼宇维保费用</w:t>
            </w:r>
          </w:p>
        </w:tc>
        <w:tc>
          <w:tcPr>
            <w:tcW w:w="1465" w:type="dxa"/>
            <w:vAlign w:val="center"/>
          </w:tcPr>
          <w:p w14:paraId="52E241BC"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平方米</w:t>
            </w:r>
          </w:p>
        </w:tc>
        <w:tc>
          <w:tcPr>
            <w:tcW w:w="1122" w:type="dxa"/>
            <w:vAlign w:val="center"/>
          </w:tcPr>
          <w:p w14:paraId="4D00A5C2" w14:textId="77777777" w:rsidR="00244E6E" w:rsidRDefault="00244E6E" w:rsidP="00D552C0">
            <w:pPr>
              <w:jc w:val="center"/>
              <w:rPr>
                <w:rFonts w:ascii="仿宋" w:eastAsia="仿宋" w:hAnsi="仿宋" w:cs="仿宋"/>
                <w:b/>
                <w:bCs/>
                <w:color w:val="333333"/>
                <w:kern w:val="0"/>
                <w:sz w:val="24"/>
              </w:rPr>
            </w:pPr>
            <w:r>
              <w:rPr>
                <w:rFonts w:ascii="仿宋" w:eastAsia="仿宋" w:hAnsi="仿宋" w:cs="仿宋" w:hint="eastAsia"/>
                <w:b/>
                <w:bCs/>
                <w:color w:val="333333"/>
                <w:kern w:val="0"/>
                <w:sz w:val="24"/>
              </w:rPr>
              <w:t>约1万</w:t>
            </w:r>
          </w:p>
        </w:tc>
        <w:tc>
          <w:tcPr>
            <w:tcW w:w="1231" w:type="dxa"/>
            <w:vAlign w:val="center"/>
          </w:tcPr>
          <w:p w14:paraId="2CE3EE53" w14:textId="77777777" w:rsidR="00244E6E" w:rsidRDefault="00244E6E" w:rsidP="00D552C0">
            <w:pPr>
              <w:rPr>
                <w:rFonts w:ascii="仿宋" w:eastAsia="仿宋" w:hAnsi="仿宋" w:cs="仿宋"/>
                <w:b/>
                <w:bCs/>
                <w:color w:val="333333"/>
                <w:kern w:val="0"/>
                <w:sz w:val="24"/>
              </w:rPr>
            </w:pPr>
          </w:p>
        </w:tc>
        <w:tc>
          <w:tcPr>
            <w:tcW w:w="1191" w:type="dxa"/>
            <w:vAlign w:val="center"/>
          </w:tcPr>
          <w:p w14:paraId="3F3AC0BE" w14:textId="77777777" w:rsidR="00244E6E" w:rsidRDefault="00244E6E" w:rsidP="00D552C0">
            <w:pPr>
              <w:rPr>
                <w:rFonts w:ascii="仿宋" w:eastAsia="仿宋" w:hAnsi="仿宋" w:cs="仿宋"/>
                <w:b/>
                <w:bCs/>
                <w:color w:val="333333"/>
                <w:kern w:val="0"/>
                <w:sz w:val="24"/>
              </w:rPr>
            </w:pPr>
          </w:p>
        </w:tc>
        <w:tc>
          <w:tcPr>
            <w:tcW w:w="1099" w:type="dxa"/>
            <w:vAlign w:val="center"/>
          </w:tcPr>
          <w:p w14:paraId="4C0103A7" w14:textId="77777777" w:rsidR="00244E6E" w:rsidRDefault="00244E6E" w:rsidP="00D552C0">
            <w:pPr>
              <w:rPr>
                <w:rFonts w:ascii="仿宋" w:eastAsia="仿宋" w:hAnsi="仿宋" w:cs="仿宋"/>
                <w:b/>
                <w:bCs/>
                <w:color w:val="333333"/>
                <w:kern w:val="0"/>
                <w:sz w:val="24"/>
              </w:rPr>
            </w:pPr>
          </w:p>
        </w:tc>
      </w:tr>
      <w:tr w:rsidR="00244E6E" w14:paraId="5C60D837" w14:textId="77777777" w:rsidTr="00D552C0">
        <w:trPr>
          <w:trHeight w:val="774"/>
        </w:trPr>
        <w:tc>
          <w:tcPr>
            <w:tcW w:w="2484" w:type="dxa"/>
            <w:gridSpan w:val="2"/>
            <w:vAlign w:val="center"/>
          </w:tcPr>
          <w:p w14:paraId="3FA68D97" w14:textId="77777777" w:rsidR="00244E6E" w:rsidRDefault="00244E6E" w:rsidP="00D552C0">
            <w:pPr>
              <w:jc w:val="center"/>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投标总价大写</w:t>
            </w:r>
          </w:p>
        </w:tc>
        <w:tc>
          <w:tcPr>
            <w:tcW w:w="6108" w:type="dxa"/>
            <w:gridSpan w:val="5"/>
            <w:vAlign w:val="center"/>
          </w:tcPr>
          <w:p w14:paraId="7392A8C1" w14:textId="77777777" w:rsidR="00244E6E" w:rsidRDefault="00244E6E" w:rsidP="00D552C0">
            <w:pPr>
              <w:rPr>
                <w:rFonts w:ascii="仿宋" w:eastAsia="仿宋" w:hAnsi="仿宋" w:cs="仿宋"/>
                <w:b/>
                <w:bCs/>
                <w:color w:val="333333"/>
                <w:kern w:val="0"/>
                <w:sz w:val="28"/>
                <w:szCs w:val="28"/>
              </w:rPr>
            </w:pPr>
          </w:p>
        </w:tc>
      </w:tr>
      <w:tr w:rsidR="00244E6E" w14:paraId="38EACD25" w14:textId="77777777" w:rsidTr="00D552C0">
        <w:trPr>
          <w:trHeight w:val="774"/>
        </w:trPr>
        <w:tc>
          <w:tcPr>
            <w:tcW w:w="8592" w:type="dxa"/>
            <w:gridSpan w:val="7"/>
            <w:vAlign w:val="center"/>
          </w:tcPr>
          <w:p w14:paraId="0A53A999" w14:textId="77777777" w:rsidR="00244E6E" w:rsidRDefault="00244E6E" w:rsidP="00D552C0">
            <w:pPr>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注：1、报价含招标文件中描述的所有内容及相关规定的事项。</w:t>
            </w:r>
          </w:p>
          <w:p w14:paraId="469E1079" w14:textId="77777777" w:rsidR="00244E6E" w:rsidRDefault="00244E6E" w:rsidP="00D552C0">
            <w:pPr>
              <w:ind w:firstLineChars="200" w:firstLine="562"/>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2、所报费用为一个年度，最高限价人民币29.4万元。</w:t>
            </w:r>
          </w:p>
        </w:tc>
      </w:tr>
    </w:tbl>
    <w:p w14:paraId="22CCE075" w14:textId="77777777" w:rsidR="00244E6E" w:rsidRPr="00740FB1" w:rsidRDefault="00244E6E" w:rsidP="00244E6E">
      <w:pPr>
        <w:pStyle w:val="a8"/>
        <w:adjustRightInd w:val="0"/>
        <w:snapToGrid w:val="0"/>
        <w:jc w:val="both"/>
        <w:rPr>
          <w:rFonts w:ascii="宋体" w:hAnsi="宋体"/>
          <w:sz w:val="24"/>
          <w:szCs w:val="24"/>
        </w:rPr>
      </w:pPr>
    </w:p>
    <w:p w14:paraId="28CB9E14" w14:textId="77777777" w:rsidR="00244E6E" w:rsidRDefault="00244E6E" w:rsidP="00244E6E">
      <w:pPr>
        <w:pStyle w:val="a8"/>
        <w:adjustRightInd w:val="0"/>
        <w:snapToGrid w:val="0"/>
        <w:jc w:val="both"/>
        <w:rPr>
          <w:rFonts w:ascii="宋体" w:hAnsi="宋体"/>
          <w:sz w:val="24"/>
          <w:szCs w:val="24"/>
        </w:rPr>
      </w:pPr>
    </w:p>
    <w:p w14:paraId="267C3A3C" w14:textId="77777777" w:rsidR="00244E6E" w:rsidRDefault="00244E6E" w:rsidP="00244E6E">
      <w:pPr>
        <w:pStyle w:val="a8"/>
        <w:adjustRightInd w:val="0"/>
        <w:snapToGrid w:val="0"/>
        <w:jc w:val="both"/>
        <w:rPr>
          <w:rFonts w:ascii="宋体" w:hAnsi="宋体"/>
          <w:sz w:val="24"/>
          <w:szCs w:val="24"/>
        </w:rPr>
      </w:pPr>
    </w:p>
    <w:p w14:paraId="06D2E8E4" w14:textId="77777777" w:rsidR="00244E6E" w:rsidRDefault="00244E6E" w:rsidP="00244E6E">
      <w:pPr>
        <w:pStyle w:val="a8"/>
        <w:adjustRightInd w:val="0"/>
        <w:snapToGrid w:val="0"/>
        <w:jc w:val="both"/>
        <w:rPr>
          <w:rFonts w:ascii="宋体" w:hAnsi="宋体"/>
          <w:sz w:val="24"/>
          <w:szCs w:val="24"/>
        </w:rPr>
      </w:pPr>
    </w:p>
    <w:p w14:paraId="6DFD57D7" w14:textId="77777777" w:rsidR="00244E6E" w:rsidRDefault="00244E6E" w:rsidP="00244E6E">
      <w:pPr>
        <w:pStyle w:val="a8"/>
        <w:adjustRightInd w:val="0"/>
        <w:snapToGrid w:val="0"/>
        <w:jc w:val="both"/>
        <w:rPr>
          <w:rFonts w:ascii="宋体" w:hAnsi="宋体" w:hint="eastAsia"/>
          <w:sz w:val="24"/>
          <w:szCs w:val="24"/>
        </w:rPr>
      </w:pPr>
    </w:p>
    <w:p w14:paraId="30DE21D4" w14:textId="77777777" w:rsidR="00244E6E" w:rsidRDefault="00244E6E" w:rsidP="00244E6E">
      <w:pPr>
        <w:pStyle w:val="a8"/>
        <w:adjustRightInd w:val="0"/>
        <w:snapToGrid w:val="0"/>
        <w:rPr>
          <w:rFonts w:ascii="宋体" w:hAnsi="宋体"/>
          <w:sz w:val="36"/>
          <w:szCs w:val="36"/>
        </w:rPr>
      </w:pPr>
      <w:r>
        <w:rPr>
          <w:rFonts w:ascii="宋体" w:hAnsi="宋体" w:hint="eastAsia"/>
          <w:sz w:val="36"/>
          <w:szCs w:val="36"/>
        </w:rPr>
        <w:lastRenderedPageBreak/>
        <w:t>滁州市一院南区、北区、西区、儿童医院</w:t>
      </w:r>
    </w:p>
    <w:p w14:paraId="54C49E8D" w14:textId="77777777" w:rsidR="00244E6E" w:rsidRDefault="00244E6E" w:rsidP="00244E6E">
      <w:pPr>
        <w:pStyle w:val="a8"/>
        <w:adjustRightInd w:val="0"/>
        <w:snapToGrid w:val="0"/>
        <w:rPr>
          <w:rFonts w:ascii="宋体" w:hAnsi="宋体"/>
          <w:sz w:val="36"/>
          <w:szCs w:val="36"/>
        </w:rPr>
      </w:pPr>
      <w:r>
        <w:rPr>
          <w:rFonts w:ascii="宋体" w:hAnsi="宋体" w:hint="eastAsia"/>
          <w:sz w:val="36"/>
          <w:szCs w:val="36"/>
        </w:rPr>
        <w:t>消防系统维保项目内容及要求</w:t>
      </w:r>
    </w:p>
    <w:p w14:paraId="16036D94" w14:textId="77777777" w:rsidR="00244E6E" w:rsidRDefault="00244E6E" w:rsidP="00244E6E">
      <w:pPr>
        <w:rPr>
          <w:sz w:val="24"/>
        </w:rPr>
      </w:pPr>
    </w:p>
    <w:p w14:paraId="1C8F7EE4" w14:textId="77777777" w:rsidR="00244E6E" w:rsidRDefault="00244E6E" w:rsidP="00244E6E">
      <w:pPr>
        <w:rPr>
          <w:rFonts w:ascii="仿宋" w:eastAsia="仿宋" w:hAnsi="仿宋" w:cs="仿宋"/>
          <w:sz w:val="28"/>
          <w:szCs w:val="28"/>
        </w:rPr>
      </w:pPr>
      <w:r>
        <w:rPr>
          <w:rFonts w:ascii="仿宋" w:eastAsia="仿宋" w:hAnsi="仿宋" w:cs="仿宋" w:hint="eastAsia"/>
          <w:sz w:val="28"/>
          <w:szCs w:val="28"/>
        </w:rPr>
        <w:t>一、项目概况及招标范围</w:t>
      </w:r>
    </w:p>
    <w:p w14:paraId="4803A62D" w14:textId="77777777" w:rsidR="00244E6E" w:rsidRDefault="00244E6E" w:rsidP="00244E6E">
      <w:pPr>
        <w:ind w:firstLineChars="175" w:firstLine="490"/>
        <w:rPr>
          <w:rFonts w:ascii="仿宋" w:eastAsia="仿宋" w:hAnsi="仿宋" w:cs="仿宋"/>
          <w:sz w:val="28"/>
          <w:szCs w:val="28"/>
        </w:rPr>
      </w:pPr>
      <w:r>
        <w:rPr>
          <w:rFonts w:ascii="仿宋" w:eastAsia="仿宋" w:hAnsi="仿宋" w:cs="仿宋" w:hint="eastAsia"/>
          <w:sz w:val="28"/>
          <w:szCs w:val="28"/>
        </w:rPr>
        <w:t>1.工程概况：</w:t>
      </w:r>
    </w:p>
    <w:p w14:paraId="4F0AF2C6"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项目名称：滁州市第一人民医院南区、北区、西区、儿童医院消防系统维保项目</w:t>
      </w:r>
    </w:p>
    <w:p w14:paraId="72107B61" w14:textId="77777777" w:rsidR="00244E6E" w:rsidRDefault="00244E6E" w:rsidP="00244E6E">
      <w:pPr>
        <w:ind w:firstLineChars="200" w:firstLine="560"/>
        <w:rPr>
          <w:rFonts w:ascii="仿宋" w:eastAsia="仿宋" w:hAnsi="仿宋" w:cs="仿宋"/>
          <w:color w:val="000000"/>
          <w:sz w:val="28"/>
          <w:szCs w:val="28"/>
        </w:rPr>
      </w:pPr>
      <w:r>
        <w:rPr>
          <w:rFonts w:ascii="仿宋" w:eastAsia="仿宋" w:hAnsi="仿宋" w:cs="仿宋" w:hint="eastAsia"/>
          <w:sz w:val="28"/>
          <w:szCs w:val="28"/>
        </w:rPr>
        <w:t>建筑情况：</w:t>
      </w:r>
      <w:r>
        <w:rPr>
          <w:rFonts w:ascii="仿宋" w:eastAsia="仿宋" w:hAnsi="仿宋" w:cs="仿宋" w:hint="eastAsia"/>
          <w:color w:val="333333"/>
          <w:kern w:val="0"/>
          <w:sz w:val="28"/>
          <w:szCs w:val="28"/>
        </w:rPr>
        <w:t>南区急诊部、门诊部、住院部、行政楼(约12万平方米)、</w:t>
      </w:r>
      <w:r>
        <w:rPr>
          <w:rFonts w:ascii="仿宋" w:eastAsia="仿宋" w:hAnsi="仿宋" w:cs="仿宋" w:hint="eastAsia"/>
          <w:color w:val="000000"/>
          <w:sz w:val="28"/>
          <w:szCs w:val="28"/>
        </w:rPr>
        <w:t>北区（约5万平方）、儿童医院（约6.5万平方）、西区(约1万平方)，共计约24.5万平方消防自动报警系统</w:t>
      </w:r>
      <w:r>
        <w:rPr>
          <w:rFonts w:ascii="仿宋" w:eastAsia="仿宋" w:hAnsi="仿宋" w:cs="仿宋" w:hint="eastAsia"/>
          <w:sz w:val="28"/>
          <w:szCs w:val="28"/>
        </w:rPr>
        <w:t>及消防设施</w:t>
      </w:r>
      <w:r>
        <w:rPr>
          <w:rFonts w:ascii="仿宋" w:eastAsia="仿宋" w:hAnsi="仿宋" w:cs="仿宋" w:hint="eastAsia"/>
          <w:color w:val="000000"/>
          <w:sz w:val="28"/>
          <w:szCs w:val="28"/>
        </w:rPr>
        <w:t>维修保养。</w:t>
      </w:r>
    </w:p>
    <w:p w14:paraId="7D5A3630" w14:textId="77777777" w:rsidR="00244E6E" w:rsidRDefault="00244E6E" w:rsidP="00244E6E">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项目地址：</w:t>
      </w:r>
    </w:p>
    <w:p w14:paraId="08DDDCAE"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2.维保范围：</w:t>
      </w:r>
    </w:p>
    <w:p w14:paraId="4267C1D3"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（1）室内外消火栓灭火系统</w:t>
      </w:r>
    </w:p>
    <w:p w14:paraId="2183817D"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（2）火灾自动报警器系统</w:t>
      </w:r>
    </w:p>
    <w:p w14:paraId="4D0B56FA"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（3）消防广播、消防对讲系统</w:t>
      </w:r>
    </w:p>
    <w:p w14:paraId="471481FF"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（4）消防喷淋系统</w:t>
      </w:r>
    </w:p>
    <w:p w14:paraId="78CBF0EB"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（5）防排烟系统</w:t>
      </w:r>
    </w:p>
    <w:p w14:paraId="42E66D0B"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（6）防火门</w:t>
      </w:r>
    </w:p>
    <w:p w14:paraId="1CF21AA3"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（7）应急照明及疏散指示系统等</w:t>
      </w:r>
    </w:p>
    <w:p w14:paraId="0EF49850"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（8）消防水池和高位水箱</w:t>
      </w:r>
    </w:p>
    <w:p w14:paraId="5883F846"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（9）其它的消防设施、器材</w:t>
      </w:r>
    </w:p>
    <w:p w14:paraId="59D86CA5"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lastRenderedPageBreak/>
        <w:t>3、维保要求：</w:t>
      </w:r>
    </w:p>
    <w:p w14:paraId="5ECCE043"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（1）定期维护保养服务</w:t>
      </w:r>
    </w:p>
    <w:p w14:paraId="74C460E0" w14:textId="77777777" w:rsidR="00244E6E" w:rsidRDefault="00244E6E" w:rsidP="00244E6E">
      <w:pPr>
        <w:rPr>
          <w:rFonts w:ascii="仿宋" w:eastAsia="仿宋" w:hAnsi="仿宋" w:cs="仿宋"/>
          <w:sz w:val="28"/>
          <w:szCs w:val="28"/>
        </w:rPr>
      </w:pPr>
      <w:r>
        <w:rPr>
          <w:rFonts w:ascii="仿宋" w:eastAsia="仿宋" w:hAnsi="仿宋" w:cs="仿宋" w:hint="eastAsia"/>
          <w:sz w:val="28"/>
          <w:szCs w:val="28"/>
        </w:rPr>
        <w:t xml:space="preserve">    中标方定期派专业工程师定期到招标人单位对消防系统设备进行常规维护保养。并每月出具消防设施维护保养报告书。根据年度保养服务计划（见合同附件），以便招标方进行合理安排。</w:t>
      </w:r>
    </w:p>
    <w:p w14:paraId="2CC558DA" w14:textId="77777777" w:rsidR="00244E6E" w:rsidRDefault="00244E6E" w:rsidP="00244E6E">
      <w:pPr>
        <w:rPr>
          <w:rFonts w:ascii="仿宋" w:eastAsia="仿宋" w:hAnsi="仿宋" w:cs="仿宋"/>
          <w:sz w:val="28"/>
          <w:szCs w:val="28"/>
        </w:rPr>
      </w:pPr>
      <w:r>
        <w:rPr>
          <w:rFonts w:ascii="仿宋" w:eastAsia="仿宋" w:hAnsi="仿宋" w:cs="仿宋" w:hint="eastAsia"/>
          <w:sz w:val="28"/>
          <w:szCs w:val="28"/>
        </w:rPr>
        <w:t xml:space="preserve">    保养中发现的有关问题及故障处理,系统可能存在潜在隐患的发现及处理,系统改造升级建议,系统备件状况的检查及更新,以及下次保养服务的内容和时间安排定期维护保养服务的具体范围和内容如下:</w:t>
      </w:r>
    </w:p>
    <w:p w14:paraId="29EE7731"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1）中标方定期对招标方的系统设备进行设备综合检查和作相应的联动测试,并协助现场人员解决和排除一些突发的报警事件和事故隐患,同时配合招标方不断完善系统,通过消防的年检。如出现未通过检查的情况，视为中标方违约，招标方有权终止合同并要求赔偿。</w:t>
      </w:r>
    </w:p>
    <w:p w14:paraId="3C5F5E08"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2)将对招标方系统设备进行定期例行的检查，并及时解决和排除现场设备出现的故障及问题。</w:t>
      </w:r>
    </w:p>
    <w:p w14:paraId="31A71A78"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3)对招标方系统设备进行例行的检查后，8个工作日内中标方将提供给招标方详细的服务内容、设备检测结果及相关的需招标方现场改进的建议报告（监管方根据保养报告对中标方进行考核，招标方根据监管方的考核报告作为中标方的支付依据），维保单位将有关季度保养报告一式三份，交招标方和监管方签字确认。（甲、乙、监管方各执一份存档，一份用于办理请款）。</w:t>
      </w:r>
    </w:p>
    <w:p w14:paraId="72AF44F5"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lastRenderedPageBreak/>
        <w:t>4）在每次定期维护、维修服务和紧急维修服务期间,若工作需要关闭相应系统设备及由此引起的影响面较大时，中标方需事先征得招标方书面同意后，方能予以实施。</w:t>
      </w:r>
    </w:p>
    <w:p w14:paraId="48F56343"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5）若当人为或其他不可抗力因素引发故障或损害事件发生时，维保单位须将尽快恢复故障放在首位，使系统恢复正常运行，尽量使由此造成的直接、间接损失控制在最低限度。</w:t>
      </w:r>
    </w:p>
    <w:p w14:paraId="08EDEFB7"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6）中标方配合招标方进行每年两次的消防演习。</w:t>
      </w:r>
    </w:p>
    <w:p w14:paraId="2B11E1F3"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（2）紧急维护保养服务</w:t>
      </w:r>
    </w:p>
    <w:p w14:paraId="6815F008" w14:textId="77777777" w:rsidR="00244E6E" w:rsidRDefault="00244E6E" w:rsidP="00244E6E">
      <w:pPr>
        <w:rPr>
          <w:rFonts w:ascii="仿宋" w:eastAsia="仿宋" w:hAnsi="仿宋" w:cs="仿宋"/>
          <w:sz w:val="28"/>
          <w:szCs w:val="28"/>
        </w:rPr>
      </w:pPr>
      <w:r>
        <w:rPr>
          <w:rFonts w:ascii="仿宋" w:eastAsia="仿宋" w:hAnsi="仿宋" w:cs="仿宋" w:hint="eastAsia"/>
          <w:sz w:val="28"/>
          <w:szCs w:val="28"/>
        </w:rPr>
        <w:t xml:space="preserve">    在本合同有效期内，如招标方提出要求，在接到招标方书面或电话通知后中标方将在正常工作时间内0.5小时之内做出响应，并派遣专业的工程师以最快的交通方式到达现场提供紧急服务，在正常工作时间之外，4小时之内做出响应，同样以最快的交通方式到达现场提供紧急服务。如未能按以上时间作出响应第一次招标方采取严重警告，第二次未能按以上时间进行响应的招标方可立即终止合同。</w:t>
      </w:r>
    </w:p>
    <w:p w14:paraId="2CA64B0F"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在每次紧急叫修服务完成后5个工作日内,中标方向招标方提供书面报告,包括本次紧急叫修服务的具体服务内容,异常的具体处理方法及原因分析,以及如何预防类似异常的校正措施和具体实施方法。</w:t>
      </w:r>
    </w:p>
    <w:p w14:paraId="029A445D"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以上紧急服务费用已包含在定期维护保养服务费用中，不得再增加费用。</w:t>
      </w:r>
    </w:p>
    <w:p w14:paraId="733D42F4"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（3）设备备件供应</w:t>
      </w:r>
    </w:p>
    <w:p w14:paraId="103E7A11"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中标方如在系统维保中需更换备品备件，招标方可委托中标方采购，中标方承诺将给予招标方最优惠的价格，保证维修保养过程中所使用的消防器材及设备质量是符合国家相关的消防法规的，保证消防系统能准确、优质、高效、安全的运行，并提供备品备件及主要部件的价格清单。如中标方提供的备品备件的价格高于市场价格的，则应予调整或另选。</w:t>
      </w:r>
    </w:p>
    <w:p w14:paraId="47DD861D"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（4）特殊服务内容</w:t>
      </w:r>
    </w:p>
    <w:p w14:paraId="186ED942" w14:textId="77777777" w:rsidR="00244E6E" w:rsidRDefault="00244E6E" w:rsidP="00244E6E">
      <w:pPr>
        <w:rPr>
          <w:rFonts w:ascii="仿宋" w:eastAsia="仿宋" w:hAnsi="仿宋" w:cs="仿宋"/>
          <w:sz w:val="28"/>
          <w:szCs w:val="28"/>
        </w:rPr>
      </w:pPr>
      <w:r>
        <w:rPr>
          <w:rFonts w:ascii="仿宋" w:eastAsia="仿宋" w:hAnsi="仿宋" w:cs="仿宋" w:hint="eastAsia"/>
          <w:sz w:val="28"/>
          <w:szCs w:val="28"/>
        </w:rPr>
        <w:t xml:space="preserve">    下列情况下，中标方可以根据招标方的要求决定提供特殊服务，具体服务费用由双方另行协商决定：</w:t>
      </w:r>
    </w:p>
    <w:p w14:paraId="6F9180D5" w14:textId="77777777" w:rsidR="00244E6E" w:rsidRDefault="00244E6E" w:rsidP="00244E6E">
      <w:pPr>
        <w:rPr>
          <w:rFonts w:ascii="仿宋" w:eastAsia="仿宋" w:hAnsi="仿宋" w:cs="仿宋"/>
          <w:sz w:val="28"/>
          <w:szCs w:val="28"/>
        </w:rPr>
      </w:pPr>
      <w:r>
        <w:rPr>
          <w:rFonts w:ascii="仿宋" w:eastAsia="仿宋" w:hAnsi="仿宋" w:cs="仿宋" w:hint="eastAsia"/>
          <w:sz w:val="28"/>
          <w:szCs w:val="28"/>
        </w:rPr>
        <w:t xml:space="preserve">    1）天灾、地震、政府行为等不可抗力事由造成的系统设备损坏。</w:t>
      </w:r>
    </w:p>
    <w:p w14:paraId="3C084CA3" w14:textId="77777777" w:rsidR="00244E6E" w:rsidRDefault="00244E6E" w:rsidP="00244E6E">
      <w:pPr>
        <w:rPr>
          <w:rFonts w:ascii="仿宋" w:eastAsia="仿宋" w:hAnsi="仿宋" w:cs="仿宋"/>
          <w:sz w:val="28"/>
          <w:szCs w:val="28"/>
        </w:rPr>
      </w:pPr>
      <w:r>
        <w:rPr>
          <w:rFonts w:ascii="仿宋" w:eastAsia="仿宋" w:hAnsi="仿宋" w:cs="仿宋" w:hint="eastAsia"/>
          <w:sz w:val="28"/>
          <w:szCs w:val="28"/>
        </w:rPr>
        <w:t xml:space="preserve">    2）非中标方之过失所造成之系统设备损坏。</w:t>
      </w:r>
    </w:p>
    <w:p w14:paraId="2570DA5D" w14:textId="77777777" w:rsidR="00244E6E" w:rsidRDefault="00244E6E" w:rsidP="00244E6E">
      <w:pPr>
        <w:rPr>
          <w:rFonts w:ascii="仿宋" w:eastAsia="仿宋" w:hAnsi="仿宋" w:cs="仿宋"/>
          <w:sz w:val="28"/>
          <w:szCs w:val="28"/>
        </w:rPr>
      </w:pPr>
      <w:r>
        <w:rPr>
          <w:rFonts w:ascii="仿宋" w:eastAsia="仿宋" w:hAnsi="仿宋" w:cs="仿宋" w:hint="eastAsia"/>
          <w:sz w:val="28"/>
          <w:szCs w:val="28"/>
        </w:rPr>
        <w:t xml:space="preserve">    3）系统设备赖以运行的工作环境较制约时发生改变，且该改变非中标方于制约时所能合理预料。</w:t>
      </w:r>
    </w:p>
    <w:p w14:paraId="7575F0C2" w14:textId="77777777" w:rsidR="00244E6E" w:rsidRDefault="00244E6E" w:rsidP="00244E6E">
      <w:pPr>
        <w:rPr>
          <w:rFonts w:ascii="仿宋" w:eastAsia="仿宋" w:hAnsi="仿宋" w:cs="仿宋"/>
          <w:sz w:val="28"/>
          <w:szCs w:val="28"/>
        </w:rPr>
      </w:pPr>
      <w:r>
        <w:rPr>
          <w:rFonts w:ascii="仿宋" w:eastAsia="仿宋" w:hAnsi="仿宋" w:cs="仿宋" w:hint="eastAsia"/>
          <w:sz w:val="28"/>
          <w:szCs w:val="28"/>
        </w:rPr>
        <w:t xml:space="preserve">    4）其他定期维护保养服务范围之外的事宜。</w:t>
      </w:r>
    </w:p>
    <w:p w14:paraId="48A22D8D"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5）本合同服务范围不包括新增加的消防设备</w:t>
      </w:r>
    </w:p>
    <w:p w14:paraId="10BA436E"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（5） 培训服务</w:t>
      </w:r>
    </w:p>
    <w:p w14:paraId="54B99832" w14:textId="77777777" w:rsidR="00244E6E" w:rsidRDefault="00244E6E" w:rsidP="00244E6E">
      <w:pPr>
        <w:rPr>
          <w:rFonts w:ascii="仿宋" w:eastAsia="仿宋" w:hAnsi="仿宋" w:cs="仿宋"/>
          <w:sz w:val="28"/>
          <w:szCs w:val="28"/>
        </w:rPr>
      </w:pPr>
      <w:r>
        <w:rPr>
          <w:rFonts w:ascii="仿宋" w:eastAsia="仿宋" w:hAnsi="仿宋" w:cs="仿宋" w:hint="eastAsia"/>
          <w:sz w:val="28"/>
          <w:szCs w:val="28"/>
        </w:rPr>
        <w:t xml:space="preserve">    在维护保养服务中，对于招标方所指定的工作人员提供现行使用的系统、设备的管理、设备的操作以及设备故障的排除等方面进行现场培训。培训内容如下：</w:t>
      </w:r>
    </w:p>
    <w:p w14:paraId="6F1089B5"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a.系统设备的操作和管理。</w:t>
      </w:r>
    </w:p>
    <w:p w14:paraId="687FD2E5" w14:textId="77777777" w:rsidR="00244E6E" w:rsidRDefault="00244E6E" w:rsidP="00244E6E">
      <w:pPr>
        <w:tabs>
          <w:tab w:val="left" w:pos="360"/>
        </w:tabs>
        <w:ind w:firstLineChars="200" w:firstLine="560"/>
        <w:rPr>
          <w:rFonts w:ascii="仿宋" w:eastAsia="仿宋" w:hAnsi="仿宋" w:cs="仿宋"/>
          <w:sz w:val="28"/>
          <w:szCs w:val="28"/>
        </w:rPr>
      </w:pPr>
      <w:r>
        <w:rPr>
          <w:rFonts w:ascii="仿宋" w:eastAsia="仿宋" w:hAnsi="仿宋" w:cs="仿宋" w:hint="eastAsia"/>
          <w:sz w:val="28"/>
          <w:szCs w:val="28"/>
        </w:rPr>
        <w:t>b.系统设备故障的排除。</w:t>
      </w:r>
    </w:p>
    <w:p w14:paraId="0ACA9BFF" w14:textId="77777777" w:rsidR="00244E6E" w:rsidRDefault="00244E6E" w:rsidP="00244E6E">
      <w:pPr>
        <w:tabs>
          <w:tab w:val="left" w:pos="360"/>
        </w:tabs>
        <w:ind w:firstLineChars="200" w:firstLine="560"/>
        <w:rPr>
          <w:rFonts w:ascii="仿宋" w:eastAsia="仿宋" w:hAnsi="仿宋" w:cs="仿宋"/>
          <w:sz w:val="28"/>
          <w:szCs w:val="28"/>
        </w:rPr>
      </w:pPr>
      <w:r>
        <w:rPr>
          <w:rFonts w:ascii="仿宋" w:eastAsia="仿宋" w:hAnsi="仿宋" w:cs="仿宋" w:hint="eastAsia"/>
          <w:sz w:val="28"/>
          <w:szCs w:val="28"/>
        </w:rPr>
        <w:lastRenderedPageBreak/>
        <w:t>c.系统数据的定期备份和报警纪录的分析。</w:t>
      </w:r>
    </w:p>
    <w:p w14:paraId="19CF4255" w14:textId="77777777" w:rsidR="00244E6E" w:rsidRDefault="00244E6E" w:rsidP="00244E6E">
      <w:pPr>
        <w:tabs>
          <w:tab w:val="left" w:pos="360"/>
        </w:tabs>
        <w:ind w:firstLineChars="200" w:firstLine="560"/>
        <w:rPr>
          <w:rFonts w:ascii="仿宋" w:eastAsia="仿宋" w:hAnsi="仿宋" w:cs="仿宋"/>
          <w:sz w:val="28"/>
          <w:szCs w:val="28"/>
        </w:rPr>
      </w:pPr>
      <w:r>
        <w:rPr>
          <w:rFonts w:ascii="仿宋" w:eastAsia="仿宋" w:hAnsi="仿宋" w:cs="仿宋" w:hint="eastAsia"/>
          <w:sz w:val="28"/>
          <w:szCs w:val="28"/>
        </w:rPr>
        <w:t>d.最新产品及其性能介绍。</w:t>
      </w:r>
    </w:p>
    <w:p w14:paraId="3F306F4D"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培训时间分为每年4月和每年10月共两次进行。</w:t>
      </w:r>
    </w:p>
    <w:p w14:paraId="402AAE32" w14:textId="77777777" w:rsidR="00244E6E" w:rsidRDefault="00244E6E" w:rsidP="00244E6E">
      <w:pPr>
        <w:rPr>
          <w:rFonts w:ascii="仿宋" w:eastAsia="仿宋" w:hAnsi="仿宋" w:cs="仿宋"/>
          <w:sz w:val="28"/>
          <w:szCs w:val="28"/>
        </w:rPr>
      </w:pPr>
      <w:r>
        <w:rPr>
          <w:rFonts w:ascii="仿宋" w:eastAsia="仿宋" w:hAnsi="仿宋" w:cs="仿宋" w:hint="eastAsia"/>
          <w:sz w:val="28"/>
          <w:szCs w:val="28"/>
        </w:rPr>
        <w:t>四、商务要求</w:t>
      </w:r>
    </w:p>
    <w:p w14:paraId="40698A1B"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1.中标方必须指派一名消防工程技术人员（注册消防工程师）驻点招标方项目地提供全天候维保服务。</w:t>
      </w:r>
    </w:p>
    <w:p w14:paraId="2BE414C3"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2.中标方投标价格应包括但不限于除更换设备及零部件费用外的日常修理、保养维护、清洗等相关人工费、机械费、培训费、维护辅材费、劳保费、办公费、利润、税金等一切费用。</w:t>
      </w:r>
    </w:p>
    <w:p w14:paraId="67FD4658"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3.中标方接到招标方通知后未能按照要求到现场处理或处理不当造成的损失，由此造成的费用中标方负责。</w:t>
      </w:r>
    </w:p>
    <w:p w14:paraId="7A807F13"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4.中标方须确保投标项目在维保服务期间，消防系统功能正常并确保消防部门检查顺利通过。</w:t>
      </w:r>
    </w:p>
    <w:p w14:paraId="2E97E554"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5.每逢节假日前，中标方须提前对该工程消防设施、设备进行检查，并留存记录，抄报招标方，保证消防系统的正常、稳定运行。</w:t>
      </w:r>
    </w:p>
    <w:p w14:paraId="144590E0"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6.每月中旬（遇节假日顺延）检查设备运行状况，同时向招标方提交设备保养情况单，真实反映设备运行情况</w:t>
      </w:r>
      <w:bookmarkStart w:id="0" w:name="_Toc501741543"/>
      <w:bookmarkStart w:id="1" w:name="_Toc501741548"/>
      <w:bookmarkStart w:id="2" w:name="_Toc501741734"/>
      <w:bookmarkStart w:id="3" w:name="_Toc501741731"/>
      <w:bookmarkStart w:id="4" w:name="_Toc501741683"/>
      <w:bookmarkStart w:id="5" w:name="_Toc501741541"/>
      <w:bookmarkStart w:id="6" w:name="_Toc501741545"/>
      <w:bookmarkStart w:id="7" w:name="_Toc501741732"/>
      <w:bookmarkStart w:id="8" w:name="_Toc501741689"/>
      <w:bookmarkStart w:id="9" w:name="_Toc501741729"/>
      <w:bookmarkStart w:id="10" w:name="_Toc501741733"/>
      <w:bookmarkStart w:id="11" w:name="_Toc501741544"/>
      <w:bookmarkStart w:id="12" w:name="_Toc501741546"/>
      <w:bookmarkStart w:id="13" w:name="_Toc501741687"/>
      <w:bookmarkStart w:id="14" w:name="_Toc501741540"/>
      <w:bookmarkStart w:id="15" w:name="_Toc501741728"/>
      <w:bookmarkStart w:id="16" w:name="_Toc501741735"/>
      <w:bookmarkStart w:id="17" w:name="_Toc501741690"/>
      <w:bookmarkStart w:id="18" w:name="_Toc501741682"/>
      <w:bookmarkStart w:id="19" w:name="_Toc501741684"/>
      <w:bookmarkStart w:id="20" w:name="_Toc501741730"/>
      <w:bookmarkStart w:id="21" w:name="_Toc501741547"/>
      <w:bookmarkStart w:id="22" w:name="_Toc501741727"/>
      <w:bookmarkStart w:id="23" w:name="_Toc501741685"/>
      <w:bookmarkStart w:id="24" w:name="_Toc501741542"/>
      <w:bookmarkStart w:id="25" w:name="_Toc501741688"/>
      <w:bookmarkStart w:id="26" w:name="_Toc50174168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仿宋" w:eastAsia="仿宋" w:hAnsi="仿宋" w:cs="仿宋" w:hint="eastAsia"/>
          <w:sz w:val="28"/>
          <w:szCs w:val="28"/>
        </w:rPr>
        <w:t>；每季度对设备全面检查及调试，检测设备保护装置，同时向招标方提交设备的保养报告。</w:t>
      </w:r>
    </w:p>
    <w:p w14:paraId="4BD38E2F"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7、中标方对维保的工作做好记录，内容为：维保原因、解决方法、耗材等形成档案。</w:t>
      </w:r>
    </w:p>
    <w:p w14:paraId="0E026C61"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lastRenderedPageBreak/>
        <w:t>8、更换的配件必须与原配件一致，并经招标方相关管理人员签字确认验收，需提供合格证等相关资料。中标方在标书中应明确提供常用配件的品牌、型号及价格清单。维修配件使用原装配件，原装配件若已停产，需提供厂家停产说明，并提供相应品牌的正规配件。由于维保不善造成同一零配件连续多次损坏，费用由中标方承担。</w:t>
      </w:r>
    </w:p>
    <w:p w14:paraId="0E048DC6"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9、所有维保设备完好率要经过招标方考核，涉及更换配件的设备应有一定质保期，在该更换配件质保期内再次发生故障由中标方免费修复或更换。</w:t>
      </w:r>
    </w:p>
    <w:p w14:paraId="5FBF91CF"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五、其他要求</w:t>
      </w:r>
    </w:p>
    <w:p w14:paraId="5349AAD5"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1.中标方的所有现场维保人员，必须服从招标方指定的管理部门合理正确的管理和指示，并对招标方设备管理人员进行设备日常运行使用维护的知识进行指导。</w:t>
      </w:r>
    </w:p>
    <w:p w14:paraId="4C2B9827"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（1）维修人员须服从医院管理部门的调度、监督。如不服从，招标方可以酌情罚款并延期支付维保费。</w:t>
      </w:r>
    </w:p>
    <w:p w14:paraId="3F78E3CA"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（2）招标方的消防管理员参与对维修人员的考核。</w:t>
      </w:r>
    </w:p>
    <w:p w14:paraId="1BC78B23"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（3）做好消防维修记录，由报修部门验收签字后交相关部门。</w:t>
      </w:r>
    </w:p>
    <w:p w14:paraId="51316D85"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2.服务范围不包括招标方在本项目服务期内新增加的消防设备。</w:t>
      </w:r>
    </w:p>
    <w:p w14:paraId="70435CCF"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3.中标方若在服务过程对原建筑或原成品产生破坏，要负责修补复原或承担相应的修复费用。</w:t>
      </w:r>
    </w:p>
    <w:p w14:paraId="634C54B4" w14:textId="77777777" w:rsidR="00244E6E" w:rsidRDefault="00244E6E" w:rsidP="00244E6E">
      <w:pPr>
        <w:ind w:firstLineChars="200" w:firstLine="560"/>
        <w:rPr>
          <w:rFonts w:ascii="仿宋" w:eastAsia="仿宋" w:hAnsi="仿宋" w:cs="仿宋"/>
          <w:sz w:val="28"/>
          <w:szCs w:val="28"/>
        </w:rPr>
      </w:pPr>
      <w:r>
        <w:rPr>
          <w:rFonts w:ascii="仿宋" w:eastAsia="仿宋" w:hAnsi="仿宋" w:cs="仿宋" w:hint="eastAsia"/>
          <w:sz w:val="28"/>
          <w:szCs w:val="28"/>
        </w:rPr>
        <w:t>4.中标方在维保行为与维保工程结束时要经过招标方验收确认。中</w:t>
      </w:r>
      <w:r>
        <w:rPr>
          <w:rFonts w:ascii="仿宋" w:eastAsia="仿宋" w:hAnsi="仿宋" w:cs="仿宋" w:hint="eastAsia"/>
          <w:sz w:val="28"/>
          <w:szCs w:val="28"/>
        </w:rPr>
        <w:lastRenderedPageBreak/>
        <w:t>标方每次执行维保任务时，必须持有致招标方的联系单（写明维保内容、执行情况、维保人、时间等），经招标方签字确认后作为合同考核及付款凭证，未经招标方确认的，视为无效维护，不计入考核和付款凭证。</w:t>
      </w:r>
    </w:p>
    <w:p w14:paraId="025A5FA0" w14:textId="77777777" w:rsidR="00244E6E" w:rsidRDefault="00244E6E" w:rsidP="00244E6E">
      <w:pPr>
        <w:ind w:firstLine="562"/>
        <w:rPr>
          <w:rFonts w:ascii="仿宋" w:eastAsia="仿宋" w:hAnsi="仿宋" w:cs="仿宋"/>
          <w:b/>
          <w:bCs/>
          <w:color w:val="333333"/>
          <w:kern w:val="0"/>
          <w:sz w:val="28"/>
          <w:szCs w:val="28"/>
        </w:rPr>
      </w:pPr>
    </w:p>
    <w:p w14:paraId="3B56A6EA" w14:textId="77777777" w:rsidR="00C65728" w:rsidRPr="00244E6E" w:rsidRDefault="00C65728" w:rsidP="00244E6E">
      <w:pPr>
        <w:adjustRightInd w:val="0"/>
        <w:snapToGrid w:val="0"/>
        <w:spacing w:line="560" w:lineRule="exact"/>
        <w:ind w:firstLineChars="200" w:firstLine="420"/>
        <w:jc w:val="center"/>
      </w:pPr>
    </w:p>
    <w:sectPr w:rsidR="00C65728" w:rsidRPr="00244E6E">
      <w:footerReference w:type="default" r:id="rId6"/>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8A81" w14:textId="77777777" w:rsidR="00746A45" w:rsidRDefault="00746A45" w:rsidP="0054361C">
      <w:r>
        <w:separator/>
      </w:r>
    </w:p>
  </w:endnote>
  <w:endnote w:type="continuationSeparator" w:id="0">
    <w:p w14:paraId="138F5677" w14:textId="77777777" w:rsidR="00746A45" w:rsidRDefault="00746A45" w:rsidP="0054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altName w:val="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724089"/>
      <w:docPartObj>
        <w:docPartGallery w:val="Page Numbers (Bottom of Page)"/>
        <w:docPartUnique/>
      </w:docPartObj>
    </w:sdtPr>
    <w:sdtContent>
      <w:sdt>
        <w:sdtPr>
          <w:id w:val="1728636285"/>
          <w:docPartObj>
            <w:docPartGallery w:val="Page Numbers (Top of Page)"/>
            <w:docPartUnique/>
          </w:docPartObj>
        </w:sdtPr>
        <w:sdtContent>
          <w:p w14:paraId="03B5E857" w14:textId="1159A1E9" w:rsidR="00B87EC5" w:rsidRDefault="00B87EC5">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2033567" w14:textId="77777777" w:rsidR="00B87EC5" w:rsidRDefault="00B87E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A8A5" w14:textId="77777777" w:rsidR="00746A45" w:rsidRDefault="00746A45" w:rsidP="0054361C">
      <w:r>
        <w:separator/>
      </w:r>
    </w:p>
  </w:footnote>
  <w:footnote w:type="continuationSeparator" w:id="0">
    <w:p w14:paraId="12005565" w14:textId="77777777" w:rsidR="00746A45" w:rsidRDefault="00746A45" w:rsidP="00543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M4NjllMjMwYTI3YTcyYTI2MjNlMjI3YzQ4MGZmY2UifQ=="/>
  </w:docVars>
  <w:rsids>
    <w:rsidRoot w:val="4C73605E"/>
    <w:rsid w:val="0011704E"/>
    <w:rsid w:val="00244E6E"/>
    <w:rsid w:val="00492898"/>
    <w:rsid w:val="005415C2"/>
    <w:rsid w:val="0054361C"/>
    <w:rsid w:val="00746A45"/>
    <w:rsid w:val="007A27D9"/>
    <w:rsid w:val="00A75213"/>
    <w:rsid w:val="00AA0BA8"/>
    <w:rsid w:val="00B87EC5"/>
    <w:rsid w:val="00C56E60"/>
    <w:rsid w:val="00C65728"/>
    <w:rsid w:val="00F809C3"/>
    <w:rsid w:val="00F86619"/>
    <w:rsid w:val="05EF21A1"/>
    <w:rsid w:val="13AF4D1D"/>
    <w:rsid w:val="4C73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9D0AE"/>
  <w15:docId w15:val="{B467D8F6-57E1-460A-A0FE-BBADCC89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4">
    <w:name w:val="header"/>
    <w:basedOn w:val="a"/>
    <w:link w:val="a5"/>
    <w:rsid w:val="0054361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4361C"/>
    <w:rPr>
      <w:rFonts w:asciiTheme="minorHAnsi" w:eastAsiaTheme="minorEastAsia" w:hAnsiTheme="minorHAnsi" w:cstheme="minorBidi"/>
      <w:kern w:val="2"/>
      <w:sz w:val="18"/>
      <w:szCs w:val="18"/>
    </w:rPr>
  </w:style>
  <w:style w:type="paragraph" w:styleId="a6">
    <w:name w:val="footer"/>
    <w:basedOn w:val="a"/>
    <w:link w:val="a7"/>
    <w:uiPriority w:val="99"/>
    <w:rsid w:val="0054361C"/>
    <w:pPr>
      <w:tabs>
        <w:tab w:val="center" w:pos="4153"/>
        <w:tab w:val="right" w:pos="8306"/>
      </w:tabs>
      <w:snapToGrid w:val="0"/>
      <w:jc w:val="left"/>
    </w:pPr>
    <w:rPr>
      <w:sz w:val="18"/>
      <w:szCs w:val="18"/>
    </w:rPr>
  </w:style>
  <w:style w:type="character" w:customStyle="1" w:styleId="a7">
    <w:name w:val="页脚 字符"/>
    <w:basedOn w:val="a0"/>
    <w:link w:val="a6"/>
    <w:uiPriority w:val="99"/>
    <w:rsid w:val="0054361C"/>
    <w:rPr>
      <w:rFonts w:asciiTheme="minorHAnsi" w:eastAsiaTheme="minorEastAsia" w:hAnsiTheme="minorHAnsi" w:cstheme="minorBidi"/>
      <w:kern w:val="2"/>
      <w:sz w:val="18"/>
      <w:szCs w:val="18"/>
    </w:rPr>
  </w:style>
  <w:style w:type="paragraph" w:styleId="a8">
    <w:name w:val="Title"/>
    <w:basedOn w:val="a"/>
    <w:next w:val="a"/>
    <w:link w:val="a9"/>
    <w:uiPriority w:val="99"/>
    <w:qFormat/>
    <w:rsid w:val="0054361C"/>
    <w:pPr>
      <w:spacing w:before="240" w:after="60"/>
      <w:jc w:val="center"/>
      <w:outlineLvl w:val="0"/>
    </w:pPr>
    <w:rPr>
      <w:rFonts w:ascii="Cambria" w:eastAsia="宋体" w:hAnsi="Cambria" w:cs="Times New Roman"/>
      <w:b/>
      <w:bCs/>
      <w:sz w:val="32"/>
      <w:szCs w:val="32"/>
    </w:rPr>
  </w:style>
  <w:style w:type="character" w:customStyle="1" w:styleId="a9">
    <w:name w:val="标题 字符"/>
    <w:basedOn w:val="a0"/>
    <w:link w:val="a8"/>
    <w:uiPriority w:val="99"/>
    <w:rsid w:val="0054361C"/>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无聊的老H</dc:creator>
  <cp:lastModifiedBy>何 陈涛</cp:lastModifiedBy>
  <cp:revision>17</cp:revision>
  <dcterms:created xsi:type="dcterms:W3CDTF">2022-11-01T09:03:00Z</dcterms:created>
  <dcterms:modified xsi:type="dcterms:W3CDTF">2022-11-02T07:59:00Z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8E1704CE40C24251A01D1576EDB5303C</vt:lpwstr>
  </property>
</Properties>
</file>