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3647">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bookmarkStart w:id="0" w:name="_Hlk9544796"/>
    </w:p>
    <w:p w14:paraId="2FC1041B">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安徽省政府采购项目</w:t>
      </w:r>
    </w:p>
    <w:p w14:paraId="1AC75022">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公开招标文件示范文本</w:t>
      </w:r>
      <w:bookmarkEnd w:id="0"/>
      <w:r>
        <w:rPr>
          <w:rFonts w:hint="eastAsia" w:ascii="宋体" w:hAnsi="宋体" w:eastAsia="宋体"/>
          <w:b/>
          <w:bCs/>
          <w:sz w:val="52"/>
          <w:szCs w:val="52"/>
          <w:highlight w:val="none"/>
        </w:rPr>
        <w:t>（</w:t>
      </w:r>
      <w:r>
        <w:rPr>
          <w:rFonts w:hint="eastAsia" w:ascii="宋体" w:hAnsi="宋体" w:eastAsia="宋体"/>
          <w:b/>
          <w:bCs/>
          <w:sz w:val="52"/>
          <w:szCs w:val="52"/>
          <w:highlight w:val="none"/>
          <w:lang w:val="en-US" w:eastAsia="zh-CN"/>
        </w:rPr>
        <w:t>服务</w:t>
      </w:r>
      <w:r>
        <w:rPr>
          <w:rFonts w:hint="eastAsia" w:ascii="宋体" w:hAnsi="宋体" w:eastAsia="宋体"/>
          <w:b/>
          <w:bCs/>
          <w:sz w:val="52"/>
          <w:szCs w:val="52"/>
          <w:highlight w:val="none"/>
        </w:rPr>
        <w:t>类）</w:t>
      </w:r>
    </w:p>
    <w:p w14:paraId="6B59F766">
      <w:pPr>
        <w:tabs>
          <w:tab w:val="left" w:pos="315"/>
          <w:tab w:val="left" w:pos="8820"/>
        </w:tabs>
        <w:spacing w:before="312" w:beforeLines="100" w:after="156" w:afterLines="50" w:line="500" w:lineRule="exact"/>
        <w:ind w:right="267" w:rightChars="127"/>
        <w:jc w:val="center"/>
        <w:rPr>
          <w:rFonts w:hint="eastAsia" w:ascii="宋体" w:hAnsi="宋体" w:eastAsia="宋体"/>
          <w:b/>
          <w:bCs/>
          <w:sz w:val="52"/>
          <w:szCs w:val="52"/>
          <w:highlight w:val="none"/>
        </w:rPr>
      </w:pPr>
      <w:r>
        <w:rPr>
          <w:rFonts w:hint="eastAsia" w:ascii="宋体" w:hAnsi="宋体" w:eastAsia="宋体"/>
          <w:b/>
          <w:bCs/>
          <w:sz w:val="52"/>
          <w:szCs w:val="52"/>
          <w:highlight w:val="none"/>
        </w:rPr>
        <w:t>（2024年版）</w:t>
      </w:r>
    </w:p>
    <w:p w14:paraId="7574F618">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2311E23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0021312E">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14685E39">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02F36024">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4142C1E2">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3914E520">
      <w:pPr>
        <w:tabs>
          <w:tab w:val="left" w:pos="315"/>
          <w:tab w:val="left" w:pos="8820"/>
        </w:tabs>
        <w:spacing w:before="312" w:beforeLines="100" w:after="156" w:afterLines="50" w:line="500" w:lineRule="exact"/>
        <w:ind w:right="267" w:rightChars="127"/>
        <w:jc w:val="center"/>
        <w:rPr>
          <w:rFonts w:hint="eastAsia" w:ascii="宋体" w:hAnsi="宋体" w:eastAsia="宋体"/>
          <w:b/>
          <w:bCs/>
          <w:sz w:val="44"/>
          <w:szCs w:val="44"/>
          <w:highlight w:val="none"/>
        </w:rPr>
      </w:pPr>
    </w:p>
    <w:p w14:paraId="71A6D749">
      <w:pPr>
        <w:autoSpaceDE w:val="0"/>
        <w:autoSpaceDN w:val="0"/>
        <w:adjustRightInd w:val="0"/>
        <w:snapToGrid w:val="0"/>
        <w:spacing w:line="360" w:lineRule="auto"/>
        <w:ind w:left="2444" w:leftChars="304" w:hanging="1806" w:hangingChars="500"/>
        <w:rPr>
          <w:rFonts w:hint="eastAsia" w:ascii="宋体" w:hAnsi="宋体" w:eastAsia="宋体"/>
          <w:b/>
          <w:spacing w:val="20"/>
          <w:kern w:val="0"/>
          <w:sz w:val="32"/>
          <w:szCs w:val="32"/>
          <w:highlight w:val="none"/>
          <w:lang w:eastAsia="zh-CN"/>
        </w:rPr>
      </w:pPr>
      <w:r>
        <w:rPr>
          <w:rFonts w:hint="eastAsia" w:ascii="宋体" w:hAnsi="宋体" w:eastAsia="宋体" w:cs="宋体"/>
          <w:b/>
          <w:spacing w:val="20"/>
          <w:kern w:val="0"/>
          <w:sz w:val="32"/>
          <w:szCs w:val="32"/>
          <w:highlight w:val="none"/>
          <w:lang w:bidi="ar"/>
        </w:rPr>
        <w:t>项目名称：</w:t>
      </w:r>
      <w:r>
        <w:rPr>
          <w:rFonts w:hint="eastAsia" w:ascii="宋体" w:hAnsi="宋体" w:eastAsia="宋体" w:cs="宋体"/>
          <w:b/>
          <w:spacing w:val="20"/>
          <w:kern w:val="0"/>
          <w:sz w:val="32"/>
          <w:szCs w:val="32"/>
          <w:highlight w:val="none"/>
          <w:u w:val="single"/>
          <w:lang w:eastAsia="zh-CN" w:bidi="ar"/>
        </w:rPr>
        <w:t>滁州市第一人民医院北区CT维修、检查床和机架保养维修服务项目</w:t>
      </w:r>
    </w:p>
    <w:p w14:paraId="289E037B">
      <w:pPr>
        <w:autoSpaceDE w:val="0"/>
        <w:autoSpaceDN w:val="0"/>
        <w:adjustRightInd w:val="0"/>
        <w:snapToGrid w:val="0"/>
        <w:spacing w:line="360" w:lineRule="auto"/>
        <w:ind w:firstLine="723" w:firstLineChars="200"/>
        <w:rPr>
          <w:rFonts w:hint="default" w:ascii="宋体" w:hAnsi="宋体" w:eastAsia="宋体"/>
          <w:b/>
          <w:spacing w:val="20"/>
          <w:kern w:val="0"/>
          <w:sz w:val="32"/>
          <w:szCs w:val="32"/>
          <w:highlight w:val="none"/>
          <w:lang w:val="en-US" w:eastAsia="zh-CN"/>
        </w:rPr>
      </w:pPr>
      <w:r>
        <w:rPr>
          <w:rFonts w:hint="eastAsia" w:ascii="宋体" w:hAnsi="宋体" w:eastAsia="宋体" w:cs="宋体"/>
          <w:b/>
          <w:spacing w:val="20"/>
          <w:kern w:val="0"/>
          <w:sz w:val="32"/>
          <w:szCs w:val="32"/>
          <w:highlight w:val="none"/>
          <w:lang w:bidi="ar"/>
        </w:rPr>
        <w:t>项目编号：</w:t>
      </w:r>
      <w:r>
        <w:rPr>
          <w:rFonts w:hint="eastAsia" w:ascii="宋体" w:hAnsi="宋体" w:eastAsia="宋体"/>
          <w:b/>
          <w:spacing w:val="20"/>
          <w:kern w:val="0"/>
          <w:sz w:val="32"/>
          <w:szCs w:val="32"/>
          <w:highlight w:val="none"/>
          <w:u w:val="single"/>
          <w:lang w:eastAsia="zh-CN" w:bidi="ar"/>
        </w:rPr>
        <w:t>CZYY-2025-4</w:t>
      </w:r>
      <w:r>
        <w:rPr>
          <w:rFonts w:hint="eastAsia" w:ascii="宋体" w:hAnsi="宋体" w:eastAsia="宋体"/>
          <w:b/>
          <w:spacing w:val="20"/>
          <w:kern w:val="0"/>
          <w:sz w:val="32"/>
          <w:szCs w:val="32"/>
          <w:highlight w:val="none"/>
          <w:u w:val="single"/>
          <w:lang w:val="en-US" w:eastAsia="zh-CN" w:bidi="ar"/>
        </w:rPr>
        <w:t xml:space="preserve">6  </w:t>
      </w:r>
    </w:p>
    <w:p w14:paraId="50F8582E">
      <w:pPr>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rPr>
      </w:pPr>
      <w:r>
        <w:rPr>
          <w:rFonts w:hint="eastAsia" w:ascii="宋体" w:hAnsi="宋体" w:eastAsia="宋体" w:cs="宋体"/>
          <w:b/>
          <w:spacing w:val="20"/>
          <w:kern w:val="0"/>
          <w:sz w:val="32"/>
          <w:szCs w:val="32"/>
          <w:highlight w:val="none"/>
          <w:lang w:bidi="ar"/>
        </w:rPr>
        <w:t>采</w:t>
      </w:r>
      <w:r>
        <w:rPr>
          <w:rFonts w:hint="eastAsia" w:ascii="宋体" w:hAnsi="宋体" w:eastAsia="宋体"/>
          <w:b/>
          <w:spacing w:val="20"/>
          <w:kern w:val="0"/>
          <w:sz w:val="32"/>
          <w:szCs w:val="32"/>
          <w:highlight w:val="none"/>
          <w:lang w:bidi="ar"/>
        </w:rPr>
        <w:t xml:space="preserve"> </w:t>
      </w:r>
      <w:r>
        <w:rPr>
          <w:rFonts w:hint="eastAsia" w:ascii="宋体" w:hAnsi="宋体" w:eastAsia="宋体" w:cs="宋体"/>
          <w:b/>
          <w:spacing w:val="20"/>
          <w:kern w:val="0"/>
          <w:sz w:val="32"/>
          <w:szCs w:val="32"/>
          <w:highlight w:val="none"/>
          <w:lang w:bidi="ar"/>
        </w:rPr>
        <w:t>购</w:t>
      </w:r>
      <w:r>
        <w:rPr>
          <w:rFonts w:hint="eastAsia" w:ascii="宋体" w:hAnsi="宋体" w:eastAsia="宋体"/>
          <w:b/>
          <w:spacing w:val="20"/>
          <w:kern w:val="0"/>
          <w:sz w:val="32"/>
          <w:szCs w:val="32"/>
          <w:highlight w:val="none"/>
          <w:lang w:bidi="ar"/>
        </w:rPr>
        <w:t xml:space="preserve"> </w:t>
      </w:r>
      <w:r>
        <w:rPr>
          <w:rFonts w:hint="eastAsia" w:ascii="宋体" w:hAnsi="宋体" w:eastAsia="宋体" w:cs="宋体"/>
          <w:b/>
          <w:spacing w:val="20"/>
          <w:kern w:val="0"/>
          <w:sz w:val="32"/>
          <w:szCs w:val="32"/>
          <w:highlight w:val="none"/>
          <w:lang w:bidi="ar"/>
        </w:rPr>
        <w:t>人：</w:t>
      </w:r>
      <w:r>
        <w:rPr>
          <w:rFonts w:hint="eastAsia" w:ascii="宋体" w:hAnsi="宋体" w:eastAsia="宋体" w:cs="宋体"/>
          <w:b/>
          <w:spacing w:val="20"/>
          <w:kern w:val="0"/>
          <w:sz w:val="32"/>
          <w:szCs w:val="32"/>
          <w:highlight w:val="none"/>
          <w:u w:val="single"/>
          <w:lang w:bidi="ar"/>
        </w:rPr>
        <w:t>滁州市第一人民医院</w:t>
      </w:r>
    </w:p>
    <w:p w14:paraId="625BB606">
      <w:pPr>
        <w:autoSpaceDE w:val="0"/>
        <w:autoSpaceDN w:val="0"/>
        <w:adjustRightInd w:val="0"/>
        <w:snapToGrid w:val="0"/>
        <w:spacing w:line="360" w:lineRule="auto"/>
        <w:ind w:firstLine="723" w:firstLineChars="200"/>
        <w:rPr>
          <w:rFonts w:hint="eastAsia" w:ascii="宋体" w:hAnsi="宋体" w:eastAsia="宋体"/>
          <w:b/>
          <w:spacing w:val="20"/>
          <w:kern w:val="0"/>
          <w:sz w:val="32"/>
          <w:szCs w:val="32"/>
          <w:highlight w:val="none"/>
        </w:rPr>
      </w:pPr>
      <w:r>
        <w:rPr>
          <w:rFonts w:hint="eastAsia" w:ascii="宋体" w:hAnsi="宋体" w:eastAsia="宋体" w:cs="宋体"/>
          <w:b/>
          <w:spacing w:val="20"/>
          <w:kern w:val="0"/>
          <w:sz w:val="32"/>
          <w:szCs w:val="32"/>
          <w:highlight w:val="none"/>
          <w:lang w:bidi="ar"/>
        </w:rPr>
        <w:t>采购代理机构：</w:t>
      </w:r>
      <w:r>
        <w:rPr>
          <w:rFonts w:hint="eastAsia" w:ascii="宋体" w:hAnsi="宋体" w:eastAsia="宋体" w:cs="宋体"/>
          <w:b/>
          <w:spacing w:val="20"/>
          <w:kern w:val="0"/>
          <w:sz w:val="32"/>
          <w:szCs w:val="32"/>
          <w:highlight w:val="none"/>
          <w:u w:val="single"/>
          <w:lang w:bidi="ar"/>
        </w:rPr>
        <w:t>安徽百士德工程咨询有限公司</w:t>
      </w:r>
    </w:p>
    <w:p w14:paraId="7362F1CC">
      <w:pPr>
        <w:spacing w:before="312" w:beforeLines="100" w:after="156" w:afterLines="50" w:line="500" w:lineRule="exact"/>
        <w:ind w:right="267" w:rightChars="127"/>
        <w:jc w:val="center"/>
        <w:rPr>
          <w:rFonts w:hint="eastAsia"/>
          <w:highlight w:val="none"/>
        </w:rPr>
      </w:pPr>
      <w:r>
        <w:rPr>
          <w:rFonts w:hint="eastAsia" w:ascii="宋体" w:hAnsi="宋体" w:eastAsia="宋体" w:cs="宋体"/>
          <w:b/>
          <w:sz w:val="36"/>
          <w:szCs w:val="36"/>
          <w:highlight w:val="none"/>
          <w:u w:val="single"/>
          <w:lang w:bidi="ar"/>
        </w:rPr>
        <w:t>202</w:t>
      </w:r>
      <w:r>
        <w:rPr>
          <w:rFonts w:hint="eastAsia" w:ascii="宋体" w:hAnsi="宋体" w:eastAsia="宋体" w:cs="宋体"/>
          <w:b/>
          <w:sz w:val="36"/>
          <w:szCs w:val="36"/>
          <w:highlight w:val="none"/>
          <w:u w:val="single"/>
          <w:lang w:val="en-US" w:eastAsia="zh-CN" w:bidi="ar"/>
        </w:rPr>
        <w:t>5</w:t>
      </w:r>
      <w:r>
        <w:rPr>
          <w:rFonts w:hint="eastAsia" w:ascii="宋体" w:hAnsi="宋体" w:eastAsia="宋体" w:cs="宋体"/>
          <w:b/>
          <w:sz w:val="36"/>
          <w:szCs w:val="36"/>
          <w:highlight w:val="none"/>
          <w:lang w:bidi="ar"/>
        </w:rPr>
        <w:t>年</w:t>
      </w:r>
      <w:r>
        <w:rPr>
          <w:rFonts w:hint="eastAsia" w:ascii="宋体" w:hAnsi="宋体" w:eastAsia="宋体" w:cs="宋体"/>
          <w:b/>
          <w:sz w:val="36"/>
          <w:szCs w:val="36"/>
          <w:highlight w:val="none"/>
          <w:u w:val="single"/>
          <w:lang w:val="en-US" w:eastAsia="zh-CN" w:bidi="ar"/>
        </w:rPr>
        <w:t>7</w:t>
      </w:r>
      <w:r>
        <w:rPr>
          <w:rFonts w:hint="eastAsia" w:ascii="宋体" w:hAnsi="宋体" w:eastAsia="宋体" w:cs="宋体"/>
          <w:b/>
          <w:sz w:val="36"/>
          <w:szCs w:val="36"/>
          <w:highlight w:val="none"/>
          <w:lang w:bidi="ar"/>
        </w:rPr>
        <w:t>月</w:t>
      </w:r>
    </w:p>
    <w:p w14:paraId="35E31559">
      <w:pPr>
        <w:tabs>
          <w:tab w:val="left" w:pos="2410"/>
        </w:tabs>
        <w:autoSpaceDE w:val="0"/>
        <w:autoSpaceDN w:val="0"/>
        <w:adjustRightInd w:val="0"/>
        <w:snapToGrid w:val="0"/>
        <w:spacing w:line="360" w:lineRule="auto"/>
        <w:jc w:val="center"/>
        <w:rPr>
          <w:rFonts w:hint="eastAsia" w:ascii="宋体" w:hAnsi="宋体" w:eastAsia="宋体"/>
          <w:b/>
          <w:sz w:val="28"/>
          <w:highlight w:val="none"/>
        </w:rPr>
      </w:pPr>
      <w:r>
        <w:rPr>
          <w:rFonts w:ascii="宋体" w:hAnsi="宋体" w:eastAsia="宋体"/>
          <w:b/>
          <w:sz w:val="36"/>
          <w:highlight w:val="none"/>
        </w:rPr>
        <w:br w:type="page"/>
      </w:r>
      <w:r>
        <w:rPr>
          <w:rFonts w:hint="eastAsia" w:ascii="宋体" w:hAnsi="宋体" w:eastAsia="宋体"/>
          <w:b/>
          <w:sz w:val="28"/>
          <w:highlight w:val="none"/>
        </w:rPr>
        <w:t>目  录</w:t>
      </w:r>
    </w:p>
    <w:p w14:paraId="63B6C315">
      <w:pPr>
        <w:pStyle w:val="18"/>
        <w:tabs>
          <w:tab w:val="right" w:leader="dot" w:pos="8306"/>
        </w:tabs>
        <w:rPr>
          <w:sz w:val="24"/>
          <w:szCs w:val="24"/>
          <w:highlight w:val="none"/>
        </w:rPr>
      </w:pPr>
      <w:r>
        <w:rPr>
          <w:rFonts w:asciiTheme="minorEastAsia" w:hAnsiTheme="minorEastAsia"/>
          <w:b/>
          <w:sz w:val="24"/>
          <w:szCs w:val="24"/>
          <w:highlight w:val="none"/>
        </w:rPr>
        <w:fldChar w:fldCharType="begin"/>
      </w:r>
      <w:r>
        <w:rPr>
          <w:rFonts w:asciiTheme="minorEastAsia" w:hAnsiTheme="minorEastAsia"/>
          <w:b/>
          <w:sz w:val="24"/>
          <w:szCs w:val="24"/>
          <w:highlight w:val="none"/>
        </w:rPr>
        <w:instrText xml:space="preserve"> </w:instrText>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instrText xml:space="preserve"> </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"_Toc23443" </w:instrText>
      </w:r>
      <w:r>
        <w:rPr>
          <w:highlight w:val="none"/>
        </w:rPr>
        <w:fldChar w:fldCharType="separate"/>
      </w:r>
      <w:r>
        <w:rPr>
          <w:rFonts w:hint="eastAsia" w:asciiTheme="minorEastAsia" w:hAnsiTheme="minorEastAsia"/>
          <w:sz w:val="24"/>
          <w:szCs w:val="24"/>
          <w:highlight w:val="none"/>
        </w:rPr>
        <w:t xml:space="preserve">第一章 </w:t>
      </w:r>
      <w:r>
        <w:rPr>
          <w:rFonts w:asciiTheme="minorEastAsia" w:hAnsiTheme="minorEastAsia"/>
          <w:sz w:val="24"/>
          <w:szCs w:val="24"/>
          <w:highlight w:val="none"/>
        </w:rPr>
        <w:t xml:space="preserve"> 投标邀请</w:t>
      </w:r>
      <w:r>
        <w:rPr>
          <w:sz w:val="24"/>
          <w:szCs w:val="24"/>
          <w:highlight w:val="none"/>
        </w:rPr>
        <w:tab/>
      </w:r>
      <w:r>
        <w:rPr>
          <w:sz w:val="24"/>
          <w:szCs w:val="24"/>
          <w:highlight w:val="none"/>
        </w:rPr>
        <w:fldChar w:fldCharType="begin"/>
      </w:r>
      <w:r>
        <w:rPr>
          <w:sz w:val="24"/>
          <w:szCs w:val="24"/>
          <w:highlight w:val="none"/>
        </w:rPr>
        <w:instrText xml:space="preserve"> PAGEREF _Toc23443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7566EEF7">
      <w:pPr>
        <w:pStyle w:val="18"/>
        <w:tabs>
          <w:tab w:val="right" w:leader="dot" w:pos="8306"/>
        </w:tabs>
        <w:rPr>
          <w:sz w:val="24"/>
          <w:szCs w:val="24"/>
          <w:highlight w:val="none"/>
        </w:rPr>
      </w:pPr>
      <w:r>
        <w:rPr>
          <w:highlight w:val="none"/>
        </w:rPr>
        <w:fldChar w:fldCharType="begin"/>
      </w:r>
      <w:r>
        <w:rPr>
          <w:highlight w:val="none"/>
        </w:rPr>
        <w:instrText xml:space="preserve"> HYPERLINK \l "_Toc31935" </w:instrText>
      </w:r>
      <w:r>
        <w:rPr>
          <w:highlight w:val="none"/>
        </w:rPr>
        <w:fldChar w:fldCharType="separate"/>
      </w:r>
      <w:r>
        <w:rPr>
          <w:rFonts w:hint="eastAsia" w:asciiTheme="minorEastAsia" w:hAnsiTheme="minorEastAsia"/>
          <w:sz w:val="24"/>
          <w:szCs w:val="24"/>
          <w:highlight w:val="none"/>
        </w:rPr>
        <w:t>第二章</w:t>
      </w:r>
      <w:r>
        <w:rPr>
          <w:rFonts w:asciiTheme="minorEastAsia" w:hAnsiTheme="minorEastAsia"/>
          <w:sz w:val="24"/>
          <w:szCs w:val="24"/>
          <w:highlight w:val="none"/>
        </w:rPr>
        <w:t xml:space="preserve"> </w:t>
      </w:r>
      <w:r>
        <w:rPr>
          <w:rFonts w:hint="eastAsia" w:asciiTheme="minorEastAsia" w:hAnsiTheme="minorEastAsia"/>
          <w:sz w:val="24"/>
          <w:szCs w:val="24"/>
          <w:highlight w:val="none"/>
        </w:rPr>
        <w:t xml:space="preserve"> </w:t>
      </w:r>
      <w:r>
        <w:rPr>
          <w:rFonts w:asciiTheme="minorEastAsia" w:hAnsiTheme="minorEastAsia"/>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_Toc31935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14:paraId="08EA80FB">
      <w:pPr>
        <w:pStyle w:val="18"/>
        <w:tabs>
          <w:tab w:val="right" w:leader="dot" w:pos="8306"/>
        </w:tabs>
        <w:rPr>
          <w:sz w:val="24"/>
          <w:szCs w:val="24"/>
          <w:highlight w:val="none"/>
        </w:rPr>
      </w:pPr>
      <w:r>
        <w:rPr>
          <w:highlight w:val="none"/>
        </w:rPr>
        <w:fldChar w:fldCharType="begin"/>
      </w:r>
      <w:r>
        <w:rPr>
          <w:highlight w:val="none"/>
        </w:rPr>
        <w:instrText xml:space="preserve"> HYPERLINK \l "_Toc10891" </w:instrText>
      </w:r>
      <w:r>
        <w:rPr>
          <w:highlight w:val="none"/>
        </w:rPr>
        <w:fldChar w:fldCharType="separate"/>
      </w:r>
      <w:r>
        <w:rPr>
          <w:rFonts w:hint="eastAsia" w:asciiTheme="minorEastAsia" w:hAnsiTheme="minorEastAsia"/>
          <w:sz w:val="24"/>
          <w:szCs w:val="24"/>
          <w:highlight w:val="none"/>
        </w:rPr>
        <w:t>第三章  采购需求</w:t>
      </w:r>
      <w:r>
        <w:rPr>
          <w:sz w:val="24"/>
          <w:szCs w:val="24"/>
          <w:highlight w:val="none"/>
        </w:rPr>
        <w:tab/>
      </w:r>
      <w:r>
        <w:rPr>
          <w:sz w:val="24"/>
          <w:szCs w:val="24"/>
          <w:highlight w:val="none"/>
        </w:rPr>
        <w:fldChar w:fldCharType="begin"/>
      </w:r>
      <w:r>
        <w:rPr>
          <w:sz w:val="24"/>
          <w:szCs w:val="24"/>
          <w:highlight w:val="none"/>
        </w:rPr>
        <w:instrText xml:space="preserve"> PAGEREF _Toc10891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2762CB6B">
      <w:pPr>
        <w:pStyle w:val="18"/>
        <w:tabs>
          <w:tab w:val="right" w:leader="dot" w:pos="8306"/>
        </w:tabs>
        <w:rPr>
          <w:sz w:val="24"/>
          <w:szCs w:val="24"/>
          <w:highlight w:val="none"/>
        </w:rPr>
      </w:pPr>
      <w:r>
        <w:rPr>
          <w:highlight w:val="none"/>
        </w:rPr>
        <w:fldChar w:fldCharType="begin"/>
      </w:r>
      <w:r>
        <w:rPr>
          <w:highlight w:val="none"/>
        </w:rPr>
        <w:instrText xml:space="preserve"> HYPERLINK \l "_Toc4328" </w:instrText>
      </w:r>
      <w:r>
        <w:rPr>
          <w:highlight w:val="none"/>
        </w:rPr>
        <w:fldChar w:fldCharType="separate"/>
      </w:r>
      <w:r>
        <w:rPr>
          <w:rFonts w:hint="eastAsia" w:asciiTheme="minorEastAsia" w:hAnsiTheme="minorEastAsia"/>
          <w:sz w:val="24"/>
          <w:szCs w:val="24"/>
          <w:highlight w:val="none"/>
        </w:rPr>
        <w:t>第四章  评标方法和标准（最低评标价法）</w:t>
      </w:r>
      <w:r>
        <w:rPr>
          <w:sz w:val="24"/>
          <w:szCs w:val="24"/>
          <w:highlight w:val="none"/>
        </w:rPr>
        <w:tab/>
      </w:r>
      <w:r>
        <w:rPr>
          <w:sz w:val="24"/>
          <w:szCs w:val="24"/>
          <w:highlight w:val="none"/>
        </w:rPr>
        <w:fldChar w:fldCharType="begin"/>
      </w:r>
      <w:r>
        <w:rPr>
          <w:sz w:val="24"/>
          <w:szCs w:val="24"/>
          <w:highlight w:val="none"/>
        </w:rPr>
        <w:instrText xml:space="preserve"> PAGEREF _Toc4328 \h </w:instrText>
      </w:r>
      <w:r>
        <w:rPr>
          <w:sz w:val="24"/>
          <w:szCs w:val="24"/>
          <w:highlight w:val="none"/>
        </w:rPr>
        <w:fldChar w:fldCharType="separate"/>
      </w:r>
      <w:r>
        <w:rPr>
          <w:sz w:val="24"/>
          <w:szCs w:val="24"/>
          <w:highlight w:val="none"/>
        </w:rPr>
        <w:t>20</w:t>
      </w:r>
      <w:r>
        <w:rPr>
          <w:sz w:val="24"/>
          <w:szCs w:val="24"/>
          <w:highlight w:val="none"/>
        </w:rPr>
        <w:fldChar w:fldCharType="end"/>
      </w:r>
      <w:r>
        <w:rPr>
          <w:sz w:val="24"/>
          <w:szCs w:val="24"/>
          <w:highlight w:val="none"/>
        </w:rPr>
        <w:fldChar w:fldCharType="end"/>
      </w:r>
    </w:p>
    <w:p w14:paraId="14227E1F">
      <w:pPr>
        <w:pStyle w:val="18"/>
        <w:tabs>
          <w:tab w:val="right" w:leader="dot" w:pos="8306"/>
        </w:tabs>
        <w:rPr>
          <w:sz w:val="24"/>
          <w:szCs w:val="24"/>
          <w:highlight w:val="none"/>
        </w:rPr>
      </w:pPr>
      <w:r>
        <w:rPr>
          <w:highlight w:val="none"/>
        </w:rPr>
        <w:fldChar w:fldCharType="begin"/>
      </w:r>
      <w:r>
        <w:rPr>
          <w:highlight w:val="none"/>
        </w:rPr>
        <w:instrText xml:space="preserve"> HYPERLINK \l "_Toc4682" </w:instrText>
      </w:r>
      <w:r>
        <w:rPr>
          <w:highlight w:val="none"/>
        </w:rPr>
        <w:fldChar w:fldCharType="separate"/>
      </w:r>
      <w:r>
        <w:rPr>
          <w:rFonts w:hint="eastAsia" w:asciiTheme="minorEastAsia" w:hAnsiTheme="minorEastAsia"/>
          <w:sz w:val="24"/>
          <w:szCs w:val="24"/>
          <w:highlight w:val="none"/>
        </w:rPr>
        <w:t xml:space="preserve">第五章  </w:t>
      </w:r>
      <w:r>
        <w:rPr>
          <w:rFonts w:asciiTheme="minorEastAsia" w:hAnsiTheme="minorEastAsia"/>
          <w:sz w:val="24"/>
          <w:szCs w:val="24"/>
          <w:highlight w:val="none"/>
        </w:rPr>
        <w:t>政府采购合同</w:t>
      </w:r>
      <w:r>
        <w:rPr>
          <w:sz w:val="24"/>
          <w:szCs w:val="24"/>
          <w:highlight w:val="none"/>
        </w:rPr>
        <w:tab/>
      </w:r>
      <w:r>
        <w:rPr>
          <w:sz w:val="24"/>
          <w:szCs w:val="24"/>
          <w:highlight w:val="none"/>
        </w:rPr>
        <w:fldChar w:fldCharType="begin"/>
      </w:r>
      <w:r>
        <w:rPr>
          <w:sz w:val="24"/>
          <w:szCs w:val="24"/>
          <w:highlight w:val="none"/>
        </w:rPr>
        <w:instrText xml:space="preserve"> PAGEREF _Toc4682 \h </w:instrText>
      </w:r>
      <w:r>
        <w:rPr>
          <w:sz w:val="24"/>
          <w:szCs w:val="24"/>
          <w:highlight w:val="none"/>
        </w:rPr>
        <w:fldChar w:fldCharType="separate"/>
      </w:r>
      <w:r>
        <w:rPr>
          <w:sz w:val="24"/>
          <w:szCs w:val="24"/>
          <w:highlight w:val="none"/>
        </w:rPr>
        <w:t>24</w:t>
      </w:r>
      <w:r>
        <w:rPr>
          <w:sz w:val="24"/>
          <w:szCs w:val="24"/>
          <w:highlight w:val="none"/>
        </w:rPr>
        <w:fldChar w:fldCharType="end"/>
      </w:r>
      <w:r>
        <w:rPr>
          <w:sz w:val="24"/>
          <w:szCs w:val="24"/>
          <w:highlight w:val="none"/>
        </w:rPr>
        <w:fldChar w:fldCharType="end"/>
      </w:r>
    </w:p>
    <w:p w14:paraId="0A4D3239">
      <w:pPr>
        <w:pStyle w:val="18"/>
        <w:tabs>
          <w:tab w:val="right" w:leader="dot" w:pos="8306"/>
        </w:tabs>
        <w:rPr>
          <w:sz w:val="24"/>
          <w:szCs w:val="24"/>
          <w:highlight w:val="none"/>
        </w:rPr>
      </w:pPr>
      <w:r>
        <w:rPr>
          <w:highlight w:val="none"/>
        </w:rPr>
        <w:fldChar w:fldCharType="begin"/>
      </w:r>
      <w:r>
        <w:rPr>
          <w:highlight w:val="none"/>
        </w:rPr>
        <w:instrText xml:space="preserve"> HYPERLINK \l "_Toc22492" </w:instrText>
      </w:r>
      <w:r>
        <w:rPr>
          <w:highlight w:val="none"/>
        </w:rPr>
        <w:fldChar w:fldCharType="separate"/>
      </w:r>
      <w:r>
        <w:rPr>
          <w:rFonts w:hint="eastAsia" w:asciiTheme="minorEastAsia" w:hAnsiTheme="minorEastAsia"/>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_Toc22492 \h </w:instrText>
      </w:r>
      <w:r>
        <w:rPr>
          <w:sz w:val="24"/>
          <w:szCs w:val="24"/>
          <w:highlight w:val="none"/>
        </w:rPr>
        <w:fldChar w:fldCharType="separate"/>
      </w:r>
      <w:r>
        <w:rPr>
          <w:sz w:val="24"/>
          <w:szCs w:val="24"/>
          <w:highlight w:val="none"/>
        </w:rPr>
        <w:t>24</w:t>
      </w:r>
      <w:r>
        <w:rPr>
          <w:sz w:val="24"/>
          <w:szCs w:val="24"/>
          <w:highlight w:val="none"/>
        </w:rPr>
        <w:fldChar w:fldCharType="end"/>
      </w:r>
      <w:r>
        <w:rPr>
          <w:sz w:val="24"/>
          <w:szCs w:val="24"/>
          <w:highlight w:val="none"/>
        </w:rPr>
        <w:fldChar w:fldCharType="end"/>
      </w:r>
    </w:p>
    <w:p w14:paraId="4E8C68B5">
      <w:pPr>
        <w:pStyle w:val="18"/>
        <w:tabs>
          <w:tab w:val="right" w:leader="dot" w:pos="8306"/>
        </w:tabs>
        <w:rPr>
          <w:sz w:val="24"/>
          <w:szCs w:val="24"/>
          <w:highlight w:val="none"/>
        </w:rPr>
      </w:pPr>
      <w:r>
        <w:rPr>
          <w:highlight w:val="none"/>
        </w:rPr>
        <w:fldChar w:fldCharType="begin"/>
      </w:r>
      <w:r>
        <w:rPr>
          <w:highlight w:val="none"/>
        </w:rPr>
        <w:instrText xml:space="preserve"> HYPERLINK \l "_Toc18131" </w:instrText>
      </w:r>
      <w:r>
        <w:rPr>
          <w:highlight w:val="none"/>
        </w:rPr>
        <w:fldChar w:fldCharType="separate"/>
      </w:r>
      <w:r>
        <w:rPr>
          <w:rFonts w:hint="eastAsia" w:asciiTheme="minorEastAsia" w:hAnsiTheme="minorEastAsia"/>
          <w:sz w:val="24"/>
          <w:szCs w:val="24"/>
          <w:highlight w:val="none"/>
        </w:rPr>
        <w:t>第七章</w:t>
      </w:r>
      <w:r>
        <w:rPr>
          <w:rFonts w:hint="eastAsia" w:ascii="宋体" w:hAnsi="宋体" w:eastAsia="宋体"/>
          <w:bCs/>
          <w:sz w:val="24"/>
          <w:szCs w:val="24"/>
          <w:highlight w:val="none"/>
        </w:rPr>
        <w:t xml:space="preserve">  政府采购</w:t>
      </w:r>
      <w:r>
        <w:rPr>
          <w:rFonts w:hint="eastAsia" w:asciiTheme="minorEastAsia" w:hAnsiTheme="minorEastAsia"/>
          <w:sz w:val="24"/>
          <w:szCs w:val="24"/>
          <w:highlight w:val="none"/>
        </w:rPr>
        <w:t>供应</w:t>
      </w:r>
      <w:r>
        <w:rPr>
          <w:rFonts w:hint="eastAsia" w:ascii="宋体" w:hAnsi="宋体" w:eastAsia="宋体"/>
          <w:bCs/>
          <w:sz w:val="24"/>
          <w:szCs w:val="24"/>
          <w:highlight w:val="none"/>
        </w:rPr>
        <w:t>商询问函和质疑函范本</w:t>
      </w:r>
      <w:r>
        <w:rPr>
          <w:sz w:val="24"/>
          <w:szCs w:val="24"/>
          <w:highlight w:val="none"/>
        </w:rPr>
        <w:tab/>
      </w:r>
      <w:r>
        <w:rPr>
          <w:sz w:val="24"/>
          <w:szCs w:val="24"/>
          <w:highlight w:val="none"/>
        </w:rPr>
        <w:fldChar w:fldCharType="begin"/>
      </w:r>
      <w:r>
        <w:rPr>
          <w:sz w:val="24"/>
          <w:szCs w:val="24"/>
          <w:highlight w:val="none"/>
        </w:rPr>
        <w:instrText xml:space="preserve"> PAGEREF _Toc18131 \h </w:instrText>
      </w:r>
      <w:r>
        <w:rPr>
          <w:sz w:val="24"/>
          <w:szCs w:val="24"/>
          <w:highlight w:val="none"/>
        </w:rPr>
        <w:fldChar w:fldCharType="separate"/>
      </w:r>
      <w:r>
        <w:rPr>
          <w:sz w:val="24"/>
          <w:szCs w:val="24"/>
          <w:highlight w:val="none"/>
        </w:rPr>
        <w:t>44</w:t>
      </w:r>
      <w:r>
        <w:rPr>
          <w:sz w:val="24"/>
          <w:szCs w:val="24"/>
          <w:highlight w:val="none"/>
        </w:rPr>
        <w:fldChar w:fldCharType="end"/>
      </w:r>
      <w:r>
        <w:rPr>
          <w:sz w:val="24"/>
          <w:szCs w:val="24"/>
          <w:highlight w:val="none"/>
        </w:rPr>
        <w:fldChar w:fldCharType="end"/>
      </w:r>
    </w:p>
    <w:p w14:paraId="7B99C3D6">
      <w:pPr>
        <w:spacing w:line="360" w:lineRule="auto"/>
        <w:rPr>
          <w:rFonts w:hint="eastAsia" w:asciiTheme="minorEastAsia" w:hAnsiTheme="minorEastAsia" w:eastAsiaTheme="minorEastAsia"/>
          <w:b/>
          <w:sz w:val="32"/>
          <w:highlight w:val="none"/>
        </w:rPr>
      </w:pPr>
      <w:r>
        <w:rPr>
          <w:rFonts w:asciiTheme="minorEastAsia" w:hAnsiTheme="minorEastAsia" w:eastAsiaTheme="minorEastAsia"/>
          <w:sz w:val="24"/>
          <w:szCs w:val="24"/>
          <w:highlight w:val="none"/>
        </w:rPr>
        <w:fldChar w:fldCharType="end"/>
      </w:r>
    </w:p>
    <w:p w14:paraId="477D5860">
      <w:pPr>
        <w:pStyle w:val="9"/>
        <w:rPr>
          <w:rFonts w:hint="eastAsia"/>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A232DF0">
      <w:pPr>
        <w:spacing w:line="360" w:lineRule="auto"/>
        <w:jc w:val="center"/>
        <w:outlineLvl w:val="0"/>
        <w:rPr>
          <w:rFonts w:hint="eastAsia" w:asciiTheme="minorEastAsia" w:hAnsiTheme="minorEastAsia" w:eastAsiaTheme="minorEastAsia"/>
          <w:b/>
          <w:sz w:val="28"/>
          <w:highlight w:val="none"/>
        </w:rPr>
      </w:pPr>
      <w:bookmarkStart w:id="1" w:name="_Toc23443"/>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投标邀请</w:t>
      </w:r>
      <w:bookmarkEnd w:id="1"/>
    </w:p>
    <w:p w14:paraId="72A629A6">
      <w:pPr>
        <w:wordWrap w:val="0"/>
        <w:autoSpaceDE w:val="0"/>
        <w:spacing w:line="360" w:lineRule="auto"/>
        <w:ind w:firstLine="480" w:firstLineChars="200"/>
        <w:outlineLvl w:val="2"/>
        <w:rPr>
          <w:rFonts w:hint="eastAsia" w:ascii="宋体" w:hAnsi="宋体" w:eastAsia="宋体" w:cs="宋体"/>
          <w:sz w:val="24"/>
          <w:szCs w:val="24"/>
          <w:highlight w:val="none"/>
        </w:rPr>
      </w:pPr>
      <w:bookmarkStart w:id="2" w:name="_Toc1215"/>
      <w:bookmarkEnd w:id="2"/>
      <w:bookmarkStart w:id="3" w:name="_Toc31935"/>
      <w:r>
        <w:rPr>
          <w:rFonts w:hint="eastAsia" w:ascii="宋体" w:hAnsi="宋体" w:eastAsia="宋体" w:cs="宋体"/>
          <w:sz w:val="24"/>
          <w:szCs w:val="24"/>
          <w:highlight w:val="none"/>
          <w:lang w:bidi="ar"/>
        </w:rPr>
        <w:t>项目概况</w:t>
      </w:r>
    </w:p>
    <w:p w14:paraId="6B98C0DC">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u w:val="single"/>
          <w:lang w:eastAsia="zh-CN" w:bidi="ar"/>
        </w:rPr>
        <w:t>滁州市第一人民医院北区CT维修、检查床和机架保养维修服务项目</w:t>
      </w:r>
      <w:r>
        <w:rPr>
          <w:rFonts w:hint="eastAsia" w:ascii="宋体" w:hAnsi="宋体" w:eastAsia="宋体" w:cs="宋体"/>
          <w:sz w:val="24"/>
          <w:szCs w:val="24"/>
          <w:highlight w:val="none"/>
          <w:lang w:bidi="ar"/>
        </w:rPr>
        <w:t>招标项目的潜在投标人应在</w:t>
      </w:r>
      <w:r>
        <w:rPr>
          <w:rFonts w:hint="eastAsia" w:ascii="宋体" w:hAnsi="宋体" w:eastAsia="宋体" w:cs="宋体"/>
          <w:sz w:val="24"/>
          <w:szCs w:val="24"/>
          <w:highlight w:val="none"/>
          <w:u w:val="single"/>
          <w:lang w:bidi="ar"/>
        </w:rPr>
        <w:t>滁州市第一人民医院网（http://www.czdyrmyy.com/）</w:t>
      </w:r>
      <w:r>
        <w:rPr>
          <w:rFonts w:hint="eastAsia" w:ascii="宋体" w:hAnsi="宋体" w:eastAsia="宋体" w:cs="宋体"/>
          <w:sz w:val="24"/>
          <w:szCs w:val="24"/>
          <w:highlight w:val="none"/>
          <w:lang w:bidi="ar"/>
        </w:rPr>
        <w:t>获取招标文件，并于</w:t>
      </w:r>
      <w:r>
        <w:rPr>
          <w:rFonts w:hint="eastAsia" w:ascii="宋体" w:hAnsi="宋体" w:eastAsia="宋体" w:cs="宋体"/>
          <w:sz w:val="24"/>
          <w:szCs w:val="24"/>
          <w:highlight w:val="none"/>
          <w:u w:val="single"/>
          <w:lang w:bidi="ar"/>
        </w:rPr>
        <w:t>2</w:t>
      </w:r>
      <w:r>
        <w:rPr>
          <w:rFonts w:hint="eastAsia" w:ascii="宋体" w:hAnsi="宋体" w:eastAsia="宋体" w:cs="宋体"/>
          <w:color w:val="000000" w:themeColor="text1"/>
          <w:sz w:val="24"/>
          <w:szCs w:val="24"/>
          <w:highlight w:val="none"/>
          <w:u w:val="single"/>
          <w:lang w:bidi="ar"/>
          <w14:textFill>
            <w14:solidFill>
              <w14:schemeClr w14:val="tx1"/>
            </w14:solidFill>
          </w14:textFill>
        </w:rPr>
        <w:t>02</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年</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月</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日1</w:t>
      </w:r>
      <w:r>
        <w:rPr>
          <w:rFonts w:hint="eastAsia" w:ascii="宋体" w:hAnsi="宋体" w:eastAsia="宋体" w:cs="宋体"/>
          <w:bCs/>
          <w:color w:val="000000" w:themeColor="text1"/>
          <w:sz w:val="24"/>
          <w:szCs w:val="24"/>
          <w:highlight w:val="none"/>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u w:val="single"/>
          <w:lang w:bidi="ar"/>
          <w14:textFill>
            <w14:solidFill>
              <w14:schemeClr w14:val="tx1"/>
            </w14:solidFill>
          </w14:textFill>
        </w:rPr>
        <w:t>点00分</w:t>
      </w:r>
      <w:r>
        <w:rPr>
          <w:rFonts w:hint="eastAsia" w:ascii="宋体" w:hAnsi="宋体" w:eastAsia="宋体" w:cs="宋体"/>
          <w:bCs/>
          <w:color w:val="000000" w:themeColor="text1"/>
          <w:sz w:val="24"/>
          <w:szCs w:val="24"/>
          <w:highlight w:val="none"/>
          <w:lang w:bidi="ar"/>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5E2BA5FD">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4" w:name="_Toc35393621"/>
      <w:bookmarkEnd w:id="4"/>
      <w:bookmarkStart w:id="5" w:name="_Toc58430305"/>
      <w:bookmarkEnd w:id="5"/>
      <w:bookmarkStart w:id="6" w:name="_Toc28359079"/>
      <w:bookmarkEnd w:id="6"/>
      <w:bookmarkStart w:id="7" w:name="_Toc28359002"/>
      <w:bookmarkEnd w:id="7"/>
      <w:bookmarkStart w:id="8" w:name="_Toc35393790"/>
      <w:bookmarkEnd w:id="8"/>
      <w:bookmarkStart w:id="9" w:name="_Hlk24379207"/>
      <w:r>
        <w:rPr>
          <w:rFonts w:hint="eastAsia" w:ascii="宋体" w:hAnsi="宋体" w:eastAsia="宋体" w:cs="宋体"/>
          <w:b/>
          <w:bCs/>
          <w:color w:val="000000" w:themeColor="text1"/>
          <w:sz w:val="24"/>
          <w:szCs w:val="24"/>
          <w:highlight w:val="none"/>
          <w:lang w:bidi="ar"/>
          <w14:textFill>
            <w14:solidFill>
              <w14:schemeClr w14:val="tx1"/>
            </w14:solidFill>
          </w14:textFill>
        </w:rPr>
        <w:t>一、项目基本情况</w:t>
      </w:r>
      <w:bookmarkEnd w:id="9"/>
    </w:p>
    <w:p w14:paraId="555C6839">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项目编号：</w:t>
      </w:r>
      <w:r>
        <w:rPr>
          <w:rFonts w:hint="eastAsia" w:ascii="宋体" w:hAnsi="宋体" w:eastAsia="宋体" w:cs="宋体"/>
          <w:color w:val="000000" w:themeColor="text1"/>
          <w:sz w:val="24"/>
          <w:szCs w:val="24"/>
          <w:highlight w:val="none"/>
          <w:lang w:eastAsia="zh-CN" w:bidi="ar"/>
          <w14:textFill>
            <w14:solidFill>
              <w14:schemeClr w14:val="tx1"/>
            </w14:solidFill>
          </w14:textFill>
        </w:rPr>
        <w:t>CZYY-2025-4</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p>
    <w:p w14:paraId="4E6A8454">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bidi="ar"/>
          <w14:textFill>
            <w14:solidFill>
              <w14:schemeClr w14:val="tx1"/>
            </w14:solidFill>
          </w14:textFill>
        </w:rPr>
        <w:t>滁州市第一人民医院北区CT维修、检查床和机架保养维修服务项目</w:t>
      </w:r>
    </w:p>
    <w:p w14:paraId="67636D0B">
      <w:pPr>
        <w:wordWrap w:val="0"/>
        <w:autoSpaceDE w:val="0"/>
        <w:spacing w:line="360" w:lineRule="auto"/>
        <w:ind w:firstLine="480" w:firstLineChars="200"/>
        <w:outlineLvl w:val="2"/>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预算金额：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25万元</w:t>
      </w:r>
    </w:p>
    <w:p w14:paraId="6C5B39BA">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最高限价：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25万</w:t>
      </w:r>
      <w:r>
        <w:rPr>
          <w:rFonts w:hint="eastAsia" w:ascii="宋体" w:hAnsi="宋体" w:eastAsia="宋体" w:cs="宋体"/>
          <w:color w:val="000000" w:themeColor="text1"/>
          <w:sz w:val="24"/>
          <w:szCs w:val="24"/>
          <w:lang w:bidi="ar"/>
          <w14:textFill>
            <w14:solidFill>
              <w14:schemeClr w14:val="tx1"/>
            </w14:solidFill>
          </w14:textFill>
        </w:rPr>
        <w:t>元，</w:t>
      </w:r>
      <w:r>
        <w:rPr>
          <w:rFonts w:hint="eastAsia" w:ascii="宋体" w:hAnsi="宋体" w:eastAsia="宋体" w:cs="宋体"/>
          <w:color w:val="000000" w:themeColor="text1"/>
          <w:kern w:val="0"/>
          <w:sz w:val="24"/>
          <w:szCs w:val="24"/>
          <w14:textFill>
            <w14:solidFill>
              <w14:schemeClr w14:val="tx1"/>
            </w14:solidFill>
          </w14:textFill>
        </w:rPr>
        <w:t>投标人投标报价均不得高于本项目设置最高限价，否则，按无效投标处理</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2C282A5">
      <w:pPr>
        <w:wordWrap w:val="0"/>
        <w:autoSpaceDE w:val="0"/>
        <w:spacing w:line="360" w:lineRule="auto"/>
        <w:ind w:firstLine="480" w:firstLineChars="200"/>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采购需求：</w:t>
      </w:r>
      <w:r>
        <w:rPr>
          <w:rFonts w:hint="eastAsia" w:ascii="宋体" w:hAnsi="宋体" w:eastAsia="宋体" w:cs="宋体"/>
          <w:color w:val="000000" w:themeColor="text1"/>
          <w:kern w:val="0"/>
          <w:sz w:val="24"/>
          <w:szCs w:val="24"/>
          <w:lang w:val="en-US" w:eastAsia="zh-CN"/>
          <w14:textFill>
            <w14:solidFill>
              <w14:schemeClr w14:val="tx1"/>
            </w14:solidFill>
          </w14:textFill>
        </w:rPr>
        <w:t>滁州市第一人民医院因北区CT室16排CT球管损坏需更换，同时检查床及机架需维修保养。</w:t>
      </w:r>
    </w:p>
    <w:p w14:paraId="7B1AA0F8">
      <w:pPr>
        <w:pStyle w:val="21"/>
        <w:widowControl/>
        <w:spacing w:before="0" w:beforeAutospacing="0" w:after="0" w:afterAutospacing="0" w:line="23" w:lineRule="atLeast"/>
        <w:ind w:firstLine="480" w:firstLineChars="200"/>
        <w:rPr>
          <w:rFonts w:hint="eastAsia" w:ascii="宋体" w:hAnsi="宋体" w:eastAsia="宋体" w:cs="宋体"/>
          <w:color w:val="000000" w:themeColor="text1"/>
          <w:kern w:val="2"/>
          <w:szCs w:val="24"/>
          <w:highlight w:val="none"/>
          <w14:textFill>
            <w14:solidFill>
              <w14:schemeClr w14:val="tx1"/>
            </w14:solidFill>
          </w14:textFill>
        </w:rPr>
      </w:pPr>
      <w:r>
        <w:rPr>
          <w:rFonts w:hint="eastAsia" w:ascii="宋体" w:hAnsi="宋体" w:eastAsia="宋体" w:cs="宋体"/>
          <w:color w:val="000000" w:themeColor="text1"/>
          <w:kern w:val="2"/>
          <w:szCs w:val="24"/>
          <w:highlight w:val="none"/>
          <w:lang w:bidi="ar"/>
          <w14:textFill>
            <w14:solidFill>
              <w14:schemeClr w14:val="tx1"/>
            </w14:solidFill>
          </w14:textFill>
        </w:rPr>
        <w:t>合同履行期限：</w:t>
      </w:r>
      <w:r>
        <w:rPr>
          <w:rFonts w:hint="eastAsia" w:ascii="宋体" w:hAnsi="宋体" w:eastAsia="宋体"/>
          <w:bCs/>
          <w:color w:val="000000" w:themeColor="text1"/>
          <w:kern w:val="0"/>
          <w:sz w:val="24"/>
          <w:szCs w:val="28"/>
          <w:highlight w:val="none"/>
          <w:lang w:eastAsia="zh-CN"/>
          <w14:textFill>
            <w14:solidFill>
              <w14:schemeClr w14:val="tx1"/>
            </w14:solidFill>
          </w14:textFill>
        </w:rPr>
        <w:t>一年</w:t>
      </w:r>
      <w:r>
        <w:rPr>
          <w:rFonts w:hint="eastAsia" w:ascii="宋体" w:hAnsi="宋体" w:eastAsia="宋体" w:cs="宋体"/>
          <w:color w:val="000000" w:themeColor="text1"/>
          <w:kern w:val="2"/>
          <w:szCs w:val="24"/>
          <w:highlight w:val="none"/>
          <w:lang w:bidi="ar"/>
          <w14:textFill>
            <w14:solidFill>
              <w14:schemeClr w14:val="tx1"/>
            </w14:solidFill>
          </w14:textFill>
        </w:rPr>
        <w:t>。</w:t>
      </w:r>
    </w:p>
    <w:p w14:paraId="479E50AB">
      <w:pPr>
        <w:wordWrap w:val="0"/>
        <w:autoSpaceDE w:val="0"/>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本项目不接受联合体投标。</w:t>
      </w:r>
    </w:p>
    <w:p w14:paraId="1F89835E">
      <w:pPr>
        <w:spacing w:line="360" w:lineRule="auto"/>
        <w:ind w:firstLine="437"/>
        <w:outlineLvl w:val="1"/>
        <w:rPr>
          <w:rFonts w:hint="eastAsia" w:ascii="宋体" w:hAnsi="宋体" w:eastAsia="宋体"/>
          <w:b/>
          <w:bCs/>
          <w:color w:val="000000" w:themeColor="text1"/>
          <w:sz w:val="24"/>
          <w:szCs w:val="24"/>
          <w:highlight w:val="none"/>
          <w14:textFill>
            <w14:solidFill>
              <w14:schemeClr w14:val="tx1"/>
            </w14:solidFill>
          </w14:textFill>
        </w:rPr>
      </w:pPr>
      <w:bookmarkStart w:id="10" w:name="_Toc58430306"/>
      <w:bookmarkEnd w:id="10"/>
      <w:bookmarkStart w:id="11" w:name="_Toc35393791"/>
      <w:bookmarkEnd w:id="11"/>
      <w:bookmarkStart w:id="12" w:name="_Toc35393622"/>
      <w:bookmarkEnd w:id="12"/>
      <w:bookmarkStart w:id="13" w:name="_Toc28359003"/>
      <w:bookmarkEnd w:id="13"/>
      <w:bookmarkStart w:id="14" w:name="_Toc28359080"/>
      <w:r>
        <w:rPr>
          <w:rFonts w:hint="eastAsia" w:ascii="宋体" w:hAnsi="宋体" w:eastAsia="宋体" w:cs="宋体"/>
          <w:b/>
          <w:bCs/>
          <w:color w:val="000000" w:themeColor="text1"/>
          <w:sz w:val="24"/>
          <w:szCs w:val="24"/>
          <w:highlight w:val="none"/>
          <w:lang w:bidi="ar"/>
          <w14:textFill>
            <w14:solidFill>
              <w14:schemeClr w14:val="tx1"/>
            </w14:solidFill>
          </w14:textFill>
        </w:rPr>
        <w:t>二、申请人的资格要求</w:t>
      </w:r>
      <w:bookmarkEnd w:id="14"/>
    </w:p>
    <w:p w14:paraId="57752899">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bookmarkStart w:id="15" w:name="_Toc35393623"/>
      <w:bookmarkEnd w:id="15"/>
      <w:bookmarkStart w:id="16" w:name="_Toc35393792"/>
      <w:bookmarkEnd w:id="16"/>
      <w:bookmarkStart w:id="17" w:name="_Toc58430307"/>
      <w:r>
        <w:rPr>
          <w:rFonts w:hint="eastAsia" w:ascii="宋体" w:hAnsi="宋体" w:eastAsia="宋体" w:cs="宋体"/>
          <w:color w:val="000000" w:themeColor="text1"/>
          <w:sz w:val="24"/>
          <w:szCs w:val="24"/>
          <w:lang w:bidi="ar"/>
          <w14:textFill>
            <w14:solidFill>
              <w14:schemeClr w14:val="tx1"/>
            </w14:solidFill>
          </w14:textFill>
        </w:rPr>
        <w:t>1.满足《中华人民共和国政府采购法》第二十二条规定；</w:t>
      </w:r>
    </w:p>
    <w:p w14:paraId="2578A2CE">
      <w:pPr>
        <w:autoSpaceDE w:val="0"/>
        <w:spacing w:line="440" w:lineRule="exact"/>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bookmarkStart w:id="18" w:name="_Toc28359081"/>
      <w:bookmarkEnd w:id="18"/>
      <w:r>
        <w:rPr>
          <w:rFonts w:hint="eastAsia" w:ascii="宋体" w:hAnsi="宋体" w:eastAsia="宋体" w:cs="宋体"/>
          <w:color w:val="000000" w:themeColor="text1"/>
          <w:sz w:val="24"/>
          <w:szCs w:val="24"/>
          <w:lang w:bidi="ar"/>
          <w14:textFill>
            <w14:solidFill>
              <w14:schemeClr w14:val="tx1"/>
            </w14:solidFill>
          </w14:textFill>
        </w:rPr>
        <w:t>2.本项目的特定资格要求：</w:t>
      </w:r>
    </w:p>
    <w:p w14:paraId="4B459DB4">
      <w:pPr>
        <w:autoSpaceDE w:val="0"/>
        <w:spacing w:line="440" w:lineRule="exact"/>
        <w:ind w:firstLine="480" w:firstLineChars="200"/>
        <w:outlineLvl w:val="2"/>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（1）生产厂家投标时，须取得此类设备相应的医疗器械生产许可证（适用第二类和第三类医疗器械）；</w:t>
      </w:r>
    </w:p>
    <w:p w14:paraId="44A36A3F">
      <w:pPr>
        <w:autoSpaceDE w:val="0"/>
        <w:spacing w:line="440" w:lineRule="exact"/>
        <w:ind w:firstLine="480" w:firstLineChars="200"/>
        <w:outlineLvl w:val="2"/>
        <w:rPr>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（2）经销/代理商投标时，须取得医疗器械经营许可证（必须具有放射器械的经营范围）和第二类医疗器械经营备案凭证；</w:t>
      </w:r>
    </w:p>
    <w:p w14:paraId="118CE43C">
      <w:pPr>
        <w:autoSpaceDE w:val="0"/>
        <w:spacing w:line="440" w:lineRule="exact"/>
        <w:ind w:firstLine="480" w:firstLineChars="200"/>
        <w:outlineLvl w:val="2"/>
        <w:rPr>
          <w:rFonts w:hint="default" w:ascii="宋体" w:hAnsi="宋体" w:eastAsia="宋体" w:cs="宋体"/>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（3）投标人需提供有效的《辐射安全许可证》（种类和范围包含销售Ⅲ类射线装置）</w:t>
      </w:r>
      <w:r>
        <w:rPr>
          <w:rFonts w:hint="eastAsia" w:ascii="宋体" w:hAnsi="宋体" w:eastAsia="宋体" w:cs="宋体"/>
          <w:color w:val="000000" w:themeColor="text1"/>
          <w:sz w:val="24"/>
          <w:szCs w:val="24"/>
          <w:highlight w:val="none"/>
          <w:lang w:bidi="ar"/>
          <w14:textFill>
            <w14:solidFill>
              <w14:schemeClr w14:val="tx1"/>
            </w14:solidFill>
          </w14:textFill>
        </w:rPr>
        <w:t>。</w:t>
      </w:r>
    </w:p>
    <w:p w14:paraId="4C2FC59B">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3.信誉要求：投标人不得存在以下情形：</w:t>
      </w:r>
    </w:p>
    <w:p w14:paraId="5FBCB987">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①投标人被人民法院列入失信被执行人的；</w:t>
      </w:r>
    </w:p>
    <w:p w14:paraId="6626514C">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②投标人或其法定代表人或拟派项目经理（项目负责人）前三年有行贿犯罪行为的；</w:t>
      </w:r>
    </w:p>
    <w:p w14:paraId="6709C7F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③投标人被市场监督管理部门列入经营异常名录或者严重违法企业名单，且未被移除的；</w:t>
      </w:r>
    </w:p>
    <w:p w14:paraId="7D495C7E">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④投标人被税务部门列入重大税收违法案件当事人的；</w:t>
      </w:r>
    </w:p>
    <w:p w14:paraId="026E411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⑤投标人被政府采购监管部门列入政府采购严重违法失信行为记录名单的；</w:t>
      </w:r>
    </w:p>
    <w:p w14:paraId="5AC3D7CF">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⑥在“信用中国”网站上披露仍在公示期的严重失信行为的。</w:t>
      </w:r>
    </w:p>
    <w:p w14:paraId="263B12D8">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4.投标人所属分公司、办事处等分支机构存在第3款信誉要求①-⑥项情形之一的，接受投标人参加本项目。</w:t>
      </w:r>
    </w:p>
    <w:p w14:paraId="6DDE074D">
      <w:pPr>
        <w:spacing w:line="360" w:lineRule="auto"/>
        <w:ind w:firstLine="437"/>
        <w:outlineLvl w:val="1"/>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备注：第3、4条按照“关于联合惩戒失信行为加强信用查询管理的通知”查询或承诺。</w:t>
      </w:r>
    </w:p>
    <w:bookmarkEnd w:id="17"/>
    <w:p w14:paraId="3CAFA2D5">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三、获取招标文件</w:t>
      </w:r>
    </w:p>
    <w:p w14:paraId="39069D58">
      <w:pPr>
        <w:autoSpaceDE w:val="0"/>
        <w:spacing w:line="440" w:lineRule="exact"/>
        <w:ind w:firstLine="480" w:firstLineChars="200"/>
        <w:outlineLvl w:val="2"/>
        <w:rPr>
          <w:rFonts w:hint="eastAsia" w:ascii="宋体" w:hAnsi="宋体" w:eastAsia="宋体" w:cs="宋体"/>
          <w:i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时间：</w:t>
      </w:r>
      <w:r>
        <w:rPr>
          <w:rFonts w:hint="eastAsia" w:ascii="宋体" w:hAnsi="宋体" w:eastAsia="宋体" w:cs="宋体"/>
          <w:color w:val="000000" w:themeColor="text1"/>
          <w:sz w:val="24"/>
          <w:szCs w:val="24"/>
          <w:u w:val="single"/>
          <w:lang w:bidi="ar"/>
          <w14:textFill>
            <w14:solidFill>
              <w14:schemeClr w14:val="tx1"/>
            </w14:solidFill>
          </w14:textFill>
        </w:rPr>
        <w:t>2025年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7</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29</w:t>
      </w:r>
      <w:r>
        <w:rPr>
          <w:rFonts w:hint="eastAsia" w:ascii="宋体" w:hAnsi="宋体" w:eastAsia="宋体" w:cs="宋体"/>
          <w:color w:val="000000" w:themeColor="text1"/>
          <w:sz w:val="24"/>
          <w:szCs w:val="24"/>
          <w:u w:val="single"/>
          <w:lang w:bidi="ar"/>
          <w14:textFill>
            <w14:solidFill>
              <w14:schemeClr w14:val="tx1"/>
            </w14:solidFill>
          </w14:textFill>
        </w:rPr>
        <w:t>日至2025年</w:t>
      </w:r>
      <w:r>
        <w:rPr>
          <w:rFonts w:hint="eastAsia" w:ascii="宋体" w:hAnsi="宋体" w:eastAsia="宋体" w:cs="宋体"/>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color w:val="000000" w:themeColor="text1"/>
          <w:sz w:val="24"/>
          <w:szCs w:val="24"/>
          <w:u w:val="single"/>
          <w:lang w:bidi="ar"/>
          <w14:textFill>
            <w14:solidFill>
              <w14:schemeClr w14:val="tx1"/>
            </w14:solidFill>
          </w14:textFill>
        </w:rPr>
        <w:t>月</w:t>
      </w:r>
      <w:r>
        <w:rPr>
          <w:rFonts w:hint="eastAsia" w:ascii="宋体" w:hAnsi="宋体" w:eastAsia="宋体" w:cs="宋体"/>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color w:val="000000" w:themeColor="text1"/>
          <w:sz w:val="24"/>
          <w:szCs w:val="24"/>
          <w:u w:val="single"/>
          <w:lang w:bidi="ar"/>
          <w14:textFill>
            <w14:solidFill>
              <w14:schemeClr w14:val="tx1"/>
            </w14:solidFill>
          </w14:textFill>
        </w:rPr>
        <w:t>日</w:t>
      </w:r>
    </w:p>
    <w:p w14:paraId="4DCF1C40">
      <w:pPr>
        <w:autoSpaceDE w:val="0"/>
        <w:spacing w:line="440" w:lineRule="exact"/>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地点：滁州市第一人民医院网</w:t>
      </w:r>
    </w:p>
    <w:p w14:paraId="1D7B9094">
      <w:pPr>
        <w:autoSpaceDE w:val="0"/>
        <w:spacing w:line="440" w:lineRule="exact"/>
        <w:ind w:firstLine="480" w:firstLineChars="200"/>
        <w:outlineLvl w:val="2"/>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方式：网上下载</w:t>
      </w:r>
    </w:p>
    <w:p w14:paraId="286642A0">
      <w:pPr>
        <w:autoSpaceDE w:val="0"/>
        <w:spacing w:line="440" w:lineRule="exact"/>
        <w:ind w:firstLine="480" w:firstLineChars="200"/>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售价：0元</w:t>
      </w:r>
    </w:p>
    <w:p w14:paraId="7616CB30">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19" w:name="_Toc35393793"/>
      <w:bookmarkEnd w:id="19"/>
      <w:bookmarkStart w:id="20" w:name="_Toc28359005"/>
      <w:bookmarkEnd w:id="20"/>
      <w:bookmarkStart w:id="21" w:name="_Toc28359082"/>
      <w:bookmarkEnd w:id="21"/>
      <w:bookmarkStart w:id="22" w:name="_Toc35393624"/>
      <w:bookmarkEnd w:id="22"/>
      <w:bookmarkStart w:id="23" w:name="_Toc58430308"/>
      <w:r>
        <w:rPr>
          <w:rFonts w:hint="eastAsia" w:ascii="宋体" w:hAnsi="宋体" w:eastAsia="宋体" w:cs="宋体"/>
          <w:b/>
          <w:bCs/>
          <w:color w:val="000000" w:themeColor="text1"/>
          <w:sz w:val="24"/>
          <w:szCs w:val="24"/>
          <w:lang w:bidi="ar"/>
          <w14:textFill>
            <w14:solidFill>
              <w14:schemeClr w14:val="tx1"/>
            </w14:solidFill>
          </w14:textFill>
        </w:rPr>
        <w:t>四、提交投标文件</w:t>
      </w:r>
      <w:bookmarkEnd w:id="23"/>
      <w:r>
        <w:rPr>
          <w:rFonts w:hint="eastAsia" w:ascii="宋体" w:hAnsi="宋体" w:eastAsia="宋体" w:cs="宋体"/>
          <w:b/>
          <w:bCs/>
          <w:color w:val="000000" w:themeColor="text1"/>
          <w:sz w:val="24"/>
          <w:szCs w:val="24"/>
          <w:lang w:bidi="ar"/>
          <w14:textFill>
            <w14:solidFill>
              <w14:schemeClr w14:val="tx1"/>
            </w14:solidFill>
          </w14:textFill>
        </w:rPr>
        <w:t>截止时间、开标时间和地点</w:t>
      </w:r>
    </w:p>
    <w:p w14:paraId="637DF32F">
      <w:pPr>
        <w:autoSpaceDE w:val="0"/>
        <w:spacing w:line="440" w:lineRule="exact"/>
        <w:ind w:firstLine="480" w:firstLineChars="200"/>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u w:val="single"/>
          <w:lang w:bidi="ar"/>
          <w14:textFill>
            <w14:solidFill>
              <w14:schemeClr w14:val="tx1"/>
            </w14:solidFill>
          </w14:textFill>
        </w:rPr>
        <w:t>2025年</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8</w:t>
      </w:r>
      <w:r>
        <w:rPr>
          <w:rFonts w:hint="eastAsia" w:ascii="宋体" w:hAnsi="宋体" w:eastAsia="宋体" w:cs="宋体"/>
          <w:bCs/>
          <w:color w:val="000000" w:themeColor="text1"/>
          <w:sz w:val="24"/>
          <w:szCs w:val="24"/>
          <w:u w:val="single"/>
          <w:lang w:bidi="ar"/>
          <w14:textFill>
            <w14:solidFill>
              <w14:schemeClr w14:val="tx1"/>
            </w14:solidFill>
          </w14:textFill>
        </w:rPr>
        <w:t>月</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5</w:t>
      </w:r>
      <w:r>
        <w:rPr>
          <w:rFonts w:hint="eastAsia" w:ascii="宋体" w:hAnsi="宋体" w:eastAsia="宋体" w:cs="宋体"/>
          <w:bCs/>
          <w:color w:val="000000" w:themeColor="text1"/>
          <w:sz w:val="24"/>
          <w:szCs w:val="24"/>
          <w:u w:val="single"/>
          <w:lang w:bidi="ar"/>
          <w14:textFill>
            <w14:solidFill>
              <w14:schemeClr w14:val="tx1"/>
            </w14:solidFill>
          </w14:textFill>
        </w:rPr>
        <w:t>日15点00分（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71E750ED">
      <w:pPr>
        <w:autoSpaceDE w:val="0"/>
        <w:spacing w:line="440" w:lineRule="exact"/>
        <w:ind w:firstLine="480" w:firstLineChars="200"/>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开标地点：</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p>
    <w:p w14:paraId="521881CB">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投标文件递送（或邮寄）地址：滁</w:t>
      </w:r>
      <w:r>
        <w:rPr>
          <w:rFonts w:hint="eastAsia" w:ascii="宋体" w:hAnsi="宋体" w:eastAsia="宋体"/>
          <w:color w:val="000000" w:themeColor="text1"/>
          <w:sz w:val="24"/>
          <w:szCs w:val="18"/>
          <w14:textFill>
            <w14:solidFill>
              <w14:schemeClr w14:val="tx1"/>
            </w14:solidFill>
          </w14:textFill>
        </w:rPr>
        <w:t>州市醉翁西路369号，滁州市第一人民医院南区行政部五楼西招标办（请各投标人在响应文件提交截止时间前将响应文件递送或邮寄至滁州市第一人民医院南区行政部五楼西招标办，招标办联系电话：0550-3526032；采用邮寄方式提交，供应商请自行计算好邮件路途中所需的时间，逾期的，概不接受）。</w:t>
      </w:r>
    </w:p>
    <w:p w14:paraId="11381F97">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24" w:name="_Toc35393794"/>
      <w:bookmarkEnd w:id="24"/>
      <w:bookmarkStart w:id="25" w:name="_Toc58430309"/>
      <w:bookmarkEnd w:id="25"/>
      <w:bookmarkStart w:id="26" w:name="_Toc28359007"/>
      <w:bookmarkEnd w:id="26"/>
      <w:bookmarkStart w:id="27" w:name="_Toc35393625"/>
      <w:bookmarkEnd w:id="27"/>
      <w:bookmarkStart w:id="28" w:name="_Toc28359084"/>
      <w:r>
        <w:rPr>
          <w:rFonts w:hint="eastAsia" w:ascii="宋体" w:hAnsi="宋体" w:eastAsia="宋体" w:cs="宋体"/>
          <w:b/>
          <w:bCs/>
          <w:color w:val="000000" w:themeColor="text1"/>
          <w:sz w:val="24"/>
          <w:szCs w:val="24"/>
          <w:lang w:bidi="ar"/>
          <w14:textFill>
            <w14:solidFill>
              <w14:schemeClr w14:val="tx1"/>
            </w14:solidFill>
          </w14:textFill>
        </w:rPr>
        <w:t>五、公告期限</w:t>
      </w:r>
      <w:bookmarkEnd w:id="28"/>
    </w:p>
    <w:p w14:paraId="3120AB5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自本公告发布之日起5个工作日。</w:t>
      </w:r>
    </w:p>
    <w:p w14:paraId="4D59E705">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bookmarkStart w:id="29" w:name="_Toc58430310"/>
      <w:bookmarkEnd w:id="29"/>
      <w:r>
        <w:rPr>
          <w:rFonts w:hint="eastAsia" w:ascii="宋体" w:hAnsi="宋体" w:eastAsia="宋体" w:cs="宋体"/>
          <w:b/>
          <w:bCs/>
          <w:color w:val="000000" w:themeColor="text1"/>
          <w:sz w:val="24"/>
          <w:szCs w:val="24"/>
          <w:lang w:bidi="ar"/>
          <w14:textFill>
            <w14:solidFill>
              <w14:schemeClr w14:val="tx1"/>
            </w14:solidFill>
          </w14:textFill>
        </w:rPr>
        <w:t>六、其他补充事宜</w:t>
      </w:r>
    </w:p>
    <w:p w14:paraId="0D00906C">
      <w:pPr>
        <w:spacing w:line="440" w:lineRule="exact"/>
        <w:ind w:firstLine="528" w:firstLineChars="220"/>
        <w:outlineLvl w:val="1"/>
        <w:rPr>
          <w:rFonts w:hint="eastAsia" w:ascii="宋体" w:hAnsi="宋体" w:eastAsia="宋体" w:cs="宋体"/>
          <w:color w:val="000000" w:themeColor="text1"/>
          <w:sz w:val="24"/>
          <w:szCs w:val="24"/>
          <w:lang w:bidi="ar"/>
          <w14:textFill>
            <w14:solidFill>
              <w14:schemeClr w14:val="tx1"/>
            </w14:solidFill>
          </w14:textFill>
        </w:rPr>
      </w:pPr>
      <w:bookmarkStart w:id="30" w:name="_Toc7265"/>
      <w:bookmarkEnd w:id="30"/>
      <w:bookmarkStart w:id="31" w:name="_Toc3854"/>
      <w:r>
        <w:rPr>
          <w:rFonts w:hint="eastAsia" w:ascii="宋体" w:hAnsi="宋体" w:eastAsia="宋体" w:cs="宋体"/>
          <w:color w:val="000000" w:themeColor="text1"/>
          <w:sz w:val="24"/>
          <w:szCs w:val="24"/>
          <w:lang w:bidi="ar"/>
          <w14:textFill>
            <w14:solidFill>
              <w14:schemeClr w14:val="tx1"/>
            </w14:solidFill>
          </w14:textFill>
        </w:rPr>
        <w:t>无</w:t>
      </w:r>
    </w:p>
    <w:p w14:paraId="69B13E66">
      <w:pPr>
        <w:spacing w:line="440" w:lineRule="exact"/>
        <w:ind w:firstLine="43"/>
        <w:outlineLvl w:val="1"/>
        <w:rPr>
          <w:rFonts w:hint="eastAsia" w:ascii="宋体" w:hAnsi="宋体" w:eastAsia="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七、</w:t>
      </w:r>
      <w:bookmarkEnd w:id="31"/>
      <w:r>
        <w:rPr>
          <w:rFonts w:hint="eastAsia" w:ascii="宋体" w:hAnsi="宋体" w:eastAsia="宋体" w:cs="宋体"/>
          <w:b/>
          <w:bCs/>
          <w:color w:val="000000" w:themeColor="text1"/>
          <w:sz w:val="24"/>
          <w:szCs w:val="24"/>
          <w:lang w:bidi="ar"/>
          <w14:textFill>
            <w14:solidFill>
              <w14:schemeClr w14:val="tx1"/>
            </w14:solidFill>
          </w14:textFill>
        </w:rPr>
        <w:t>对本次招标提出询问，请按以下方式联系</w:t>
      </w:r>
    </w:p>
    <w:p w14:paraId="4FB3AD9D">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1.采购人信息</w:t>
      </w:r>
    </w:p>
    <w:p w14:paraId="3B1842B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滁州市第一人民医院</w:t>
      </w:r>
    </w:p>
    <w:p w14:paraId="2CC448CA">
      <w:pPr>
        <w:autoSpaceDE w:val="0"/>
        <w:spacing w:line="440" w:lineRule="exact"/>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p>
    <w:p w14:paraId="01292CDA">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招标办</w:t>
      </w:r>
    </w:p>
    <w:p w14:paraId="23AA54E7">
      <w:pPr>
        <w:autoSpaceDE w:val="0"/>
        <w:spacing w:line="440" w:lineRule="exact"/>
        <w:ind w:firstLine="480" w:firstLineChars="200"/>
        <w:outlineLvl w:val="2"/>
        <w:rPr>
          <w:rFonts w:hint="eastAsia" w:ascii="宋体" w:hAnsi="宋体" w:eastAsia="宋体"/>
          <w:color w:val="000000" w:themeColor="text1"/>
          <w:sz w:val="24"/>
          <w:szCs w:val="24"/>
          <w:u w:val="single"/>
          <w:lang w:bidi="ar"/>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联系方式：</w:t>
      </w:r>
      <w:r>
        <w:rPr>
          <w:rFonts w:hint="eastAsia" w:ascii="宋体" w:hAnsi="宋体" w:eastAsia="宋体"/>
          <w:color w:val="000000" w:themeColor="text1"/>
          <w:sz w:val="24"/>
          <w:szCs w:val="24"/>
          <w:u w:val="single"/>
          <w:lang w:bidi="ar"/>
          <w14:textFill>
            <w14:solidFill>
              <w14:schemeClr w14:val="tx1"/>
            </w14:solidFill>
          </w14:textFill>
        </w:rPr>
        <w:t>0550-3526032</w:t>
      </w:r>
    </w:p>
    <w:p w14:paraId="5887F41D">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2.采购代理机构</w:t>
      </w:r>
      <w:r>
        <w:rPr>
          <w:rFonts w:hint="eastAsia" w:ascii="宋体" w:hAnsi="宋体" w:eastAsia="宋体" w:cs="宋体"/>
          <w:color w:val="000000" w:themeColor="text1"/>
          <w:sz w:val="24"/>
          <w:szCs w:val="24"/>
          <w:lang w:bidi="ar"/>
          <w14:textFill>
            <w14:solidFill>
              <w14:schemeClr w14:val="tx1"/>
            </w14:solidFill>
          </w14:textFill>
        </w:rPr>
        <w:t>信息</w:t>
      </w:r>
    </w:p>
    <w:p w14:paraId="72ACEBD7">
      <w:pPr>
        <w:autoSpaceDE w:val="0"/>
        <w:spacing w:line="440" w:lineRule="exact"/>
        <w:ind w:firstLine="480" w:firstLineChars="200"/>
        <w:outlineLvl w:val="2"/>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名  称：</w:t>
      </w:r>
      <w:r>
        <w:rPr>
          <w:rFonts w:hint="eastAsia" w:ascii="宋体" w:hAnsi="宋体" w:eastAsia="宋体"/>
          <w:color w:val="000000" w:themeColor="text1"/>
          <w:sz w:val="24"/>
          <w:szCs w:val="24"/>
          <w:u w:val="single"/>
          <w:lang w:bidi="ar"/>
          <w14:textFill>
            <w14:solidFill>
              <w14:schemeClr w14:val="tx1"/>
            </w14:solidFill>
          </w14:textFill>
        </w:rPr>
        <w:t>安徽百士德工程咨询有限公司</w:t>
      </w:r>
    </w:p>
    <w:p w14:paraId="6EE07D74">
      <w:pPr>
        <w:autoSpaceDE w:val="0"/>
        <w:spacing w:line="440" w:lineRule="exact"/>
        <w:ind w:firstLine="480" w:firstLineChars="200"/>
        <w:outlineLvl w:val="2"/>
        <w:rPr>
          <w:rFonts w:hint="eastAsia" w:ascii="宋体" w:hAnsi="宋体" w:eastAsia="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w:t>
      </w: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址：</w:t>
      </w:r>
      <w:r>
        <w:rPr>
          <w:rFonts w:hint="eastAsia" w:ascii="宋体" w:hAnsi="宋体" w:eastAsia="宋体"/>
          <w:color w:val="000000" w:themeColor="text1"/>
          <w:sz w:val="24"/>
          <w:szCs w:val="24"/>
          <w:u w:val="single"/>
          <w:lang w:bidi="ar"/>
          <w14:textFill>
            <w14:solidFill>
              <w14:schemeClr w14:val="tx1"/>
            </w14:solidFill>
          </w14:textFill>
        </w:rPr>
        <w:t xml:space="preserve">滁州市会峰西路72-11号 </w:t>
      </w:r>
    </w:p>
    <w:p w14:paraId="3539D024">
      <w:pPr>
        <w:autoSpaceDE w:val="0"/>
        <w:spacing w:line="440" w:lineRule="exact"/>
        <w:ind w:firstLine="480" w:firstLineChars="200"/>
        <w:outlineLvl w:val="2"/>
        <w:rPr>
          <w:rFonts w:hint="eastAsia"/>
          <w:color w:val="000000" w:themeColor="text1"/>
          <w:szCs w:val="21"/>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联系人：</w:t>
      </w:r>
      <w:r>
        <w:rPr>
          <w:rFonts w:hint="eastAsia" w:ascii="宋体" w:hAnsi="宋体" w:eastAsia="宋体"/>
          <w:color w:val="000000" w:themeColor="text1"/>
          <w:sz w:val="24"/>
          <w:szCs w:val="24"/>
          <w:u w:val="single"/>
          <w:lang w:bidi="ar"/>
          <w14:textFill>
            <w14:solidFill>
              <w14:schemeClr w14:val="tx1"/>
            </w14:solidFill>
          </w14:textFill>
        </w:rPr>
        <w:t>王力</w:t>
      </w:r>
    </w:p>
    <w:p w14:paraId="05F2B871">
      <w:pPr>
        <w:pStyle w:val="9"/>
        <w:spacing w:after="0" w:line="440" w:lineRule="exact"/>
        <w:ind w:firstLine="480" w:firstLineChars="200"/>
        <w:rPr>
          <w:rFonts w:hint="eastAsia" w:ascii="宋体" w:hAnsi="宋体" w:eastAsia="宋体" w:cs="@仿宋_GB2312"/>
          <w:color w:val="000000" w:themeColor="text1"/>
          <w:sz w:val="24"/>
          <w:u w:val="single"/>
          <w:lang w:val="en-US"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联系方式：</w:t>
      </w:r>
      <w:r>
        <w:rPr>
          <w:rFonts w:hint="eastAsia" w:ascii="宋体" w:hAnsi="宋体" w:eastAsia="宋体"/>
          <w:color w:val="000000" w:themeColor="text1"/>
          <w:sz w:val="24"/>
          <w:u w:val="single"/>
          <w:lang w:bidi="ar"/>
          <w14:textFill>
            <w14:solidFill>
              <w14:schemeClr w14:val="tx1"/>
            </w14:solidFill>
          </w14:textFill>
        </w:rPr>
        <w:t xml:space="preserve">0550-3011399、13955028781 </w:t>
      </w:r>
    </w:p>
    <w:p w14:paraId="4B9A85D7">
      <w:pPr>
        <w:pStyle w:val="9"/>
        <w:ind w:firstLine="43"/>
        <w:rPr>
          <w:rFonts w:hint="eastAsia" w:ascii="宋体" w:hAnsi="宋体" w:eastAsia="宋体" w:cs="@仿宋_GB2312"/>
          <w:color w:val="000000" w:themeColor="text1"/>
          <w:sz w:val="24"/>
          <w:u w:val="single"/>
          <w:lang w:val="en-US" w:bidi="ar"/>
          <w14:textFill>
            <w14:solidFill>
              <w14:schemeClr w14:val="tx1"/>
            </w14:solidFill>
          </w14:textFill>
        </w:rPr>
      </w:pPr>
    </w:p>
    <w:p w14:paraId="364D88BE">
      <w:pPr>
        <w:pStyle w:val="9"/>
        <w:rPr>
          <w:rFonts w:hint="eastAsia" w:ascii="宋体" w:hAnsi="宋体" w:eastAsia="宋体" w:cs="@仿宋_GB2312"/>
          <w:color w:val="000000" w:themeColor="text1"/>
          <w:sz w:val="24"/>
          <w:highlight w:val="none"/>
          <w:u w:val="single"/>
          <w:lang w:val="en-US" w:bidi="ar"/>
          <w14:textFill>
            <w14:solidFill>
              <w14:schemeClr w14:val="tx1"/>
            </w14:solidFill>
          </w14:textFill>
        </w:rPr>
      </w:pPr>
    </w:p>
    <w:p w14:paraId="7F242090">
      <w:pPr>
        <w:pStyle w:val="9"/>
        <w:rPr>
          <w:rFonts w:hint="eastAsia" w:ascii="宋体" w:hAnsi="宋体" w:eastAsia="宋体" w:cs="@仿宋_GB2312"/>
          <w:sz w:val="24"/>
          <w:highlight w:val="none"/>
          <w:u w:val="single"/>
          <w:lang w:val="en-US" w:bidi="ar"/>
        </w:rPr>
      </w:pPr>
    </w:p>
    <w:p w14:paraId="28022C33">
      <w:pPr>
        <w:pStyle w:val="9"/>
        <w:rPr>
          <w:rFonts w:hint="eastAsia" w:ascii="宋体" w:hAnsi="宋体" w:eastAsia="宋体" w:cs="@仿宋_GB2312"/>
          <w:sz w:val="24"/>
          <w:highlight w:val="none"/>
          <w:u w:val="single"/>
          <w:lang w:val="en-US" w:bidi="ar"/>
        </w:rPr>
      </w:pPr>
    </w:p>
    <w:p w14:paraId="76666BFA">
      <w:pPr>
        <w:pStyle w:val="9"/>
        <w:rPr>
          <w:rFonts w:hint="eastAsia" w:ascii="宋体" w:hAnsi="宋体" w:eastAsia="宋体" w:cs="@仿宋_GB2312"/>
          <w:sz w:val="24"/>
          <w:highlight w:val="none"/>
          <w:u w:val="single"/>
          <w:lang w:val="en-US" w:bidi="ar"/>
        </w:rPr>
      </w:pPr>
    </w:p>
    <w:p w14:paraId="524952A6">
      <w:pPr>
        <w:pStyle w:val="9"/>
        <w:rPr>
          <w:rFonts w:hint="eastAsia" w:ascii="宋体" w:hAnsi="宋体" w:eastAsia="宋体" w:cs="@仿宋_GB2312"/>
          <w:sz w:val="24"/>
          <w:highlight w:val="none"/>
          <w:u w:val="single"/>
          <w:lang w:val="en-US" w:bidi="ar"/>
        </w:rPr>
      </w:pPr>
    </w:p>
    <w:p w14:paraId="61F49BD2">
      <w:pPr>
        <w:pStyle w:val="9"/>
        <w:rPr>
          <w:rFonts w:hint="eastAsia" w:ascii="宋体" w:hAnsi="宋体" w:eastAsia="宋体" w:cs="@仿宋_GB2312"/>
          <w:sz w:val="24"/>
          <w:highlight w:val="none"/>
          <w:u w:val="single"/>
          <w:lang w:val="en-US" w:bidi="ar"/>
        </w:rPr>
      </w:pPr>
    </w:p>
    <w:p w14:paraId="000AA840">
      <w:pPr>
        <w:pStyle w:val="9"/>
        <w:rPr>
          <w:rFonts w:hint="eastAsia" w:ascii="宋体" w:hAnsi="宋体" w:eastAsia="宋体" w:cs="@仿宋_GB2312"/>
          <w:sz w:val="24"/>
          <w:highlight w:val="none"/>
          <w:u w:val="single"/>
          <w:lang w:val="en-US" w:bidi="ar"/>
        </w:rPr>
      </w:pPr>
    </w:p>
    <w:p w14:paraId="33E55460">
      <w:pPr>
        <w:pStyle w:val="9"/>
        <w:rPr>
          <w:rFonts w:hint="eastAsia" w:ascii="宋体" w:hAnsi="宋体" w:eastAsia="宋体" w:cs="@仿宋_GB2312"/>
          <w:sz w:val="24"/>
          <w:highlight w:val="none"/>
          <w:u w:val="single"/>
          <w:lang w:val="en-US" w:bidi="ar"/>
        </w:rPr>
      </w:pPr>
    </w:p>
    <w:p w14:paraId="7FE2B865">
      <w:pPr>
        <w:pStyle w:val="9"/>
        <w:rPr>
          <w:rFonts w:hint="eastAsia" w:ascii="宋体" w:hAnsi="宋体" w:eastAsia="宋体" w:cs="@仿宋_GB2312"/>
          <w:sz w:val="24"/>
          <w:highlight w:val="none"/>
          <w:u w:val="single"/>
          <w:lang w:val="en-US" w:bidi="ar"/>
        </w:rPr>
      </w:pPr>
    </w:p>
    <w:p w14:paraId="37C8FA25">
      <w:pPr>
        <w:pStyle w:val="9"/>
        <w:rPr>
          <w:rFonts w:hint="eastAsia" w:ascii="宋体" w:hAnsi="宋体" w:eastAsia="宋体" w:cs="@仿宋_GB2312"/>
          <w:sz w:val="24"/>
          <w:highlight w:val="none"/>
          <w:u w:val="single"/>
          <w:lang w:val="en-US" w:bidi="ar"/>
        </w:rPr>
      </w:pPr>
    </w:p>
    <w:p w14:paraId="3431363C">
      <w:pPr>
        <w:pStyle w:val="9"/>
        <w:rPr>
          <w:rFonts w:hint="eastAsia" w:ascii="宋体" w:hAnsi="宋体" w:eastAsia="宋体" w:cs="@仿宋_GB2312"/>
          <w:sz w:val="24"/>
          <w:highlight w:val="none"/>
          <w:u w:val="single"/>
          <w:lang w:val="en-US" w:bidi="ar"/>
        </w:rPr>
      </w:pPr>
    </w:p>
    <w:p w14:paraId="5EFA58A3">
      <w:pPr>
        <w:pStyle w:val="9"/>
        <w:rPr>
          <w:rFonts w:hint="eastAsia" w:ascii="宋体" w:hAnsi="宋体" w:eastAsia="宋体" w:cs="@仿宋_GB2312"/>
          <w:sz w:val="24"/>
          <w:highlight w:val="none"/>
          <w:u w:val="single"/>
          <w:lang w:val="en-US" w:bidi="ar"/>
        </w:rPr>
      </w:pPr>
    </w:p>
    <w:p w14:paraId="452751F0">
      <w:pPr>
        <w:pStyle w:val="9"/>
        <w:rPr>
          <w:rFonts w:hint="eastAsia" w:ascii="宋体" w:hAnsi="宋体" w:eastAsia="宋体" w:cs="@仿宋_GB2312"/>
          <w:sz w:val="24"/>
          <w:highlight w:val="none"/>
          <w:u w:val="single"/>
          <w:lang w:val="en-US" w:bidi="ar"/>
        </w:rPr>
      </w:pPr>
    </w:p>
    <w:p w14:paraId="107F2D2C">
      <w:pPr>
        <w:pStyle w:val="9"/>
        <w:rPr>
          <w:rFonts w:hint="eastAsia" w:ascii="宋体" w:hAnsi="宋体" w:eastAsia="宋体" w:cs="@仿宋_GB2312"/>
          <w:sz w:val="24"/>
          <w:highlight w:val="none"/>
          <w:u w:val="single"/>
          <w:lang w:val="en-US" w:bidi="ar"/>
        </w:rPr>
      </w:pPr>
    </w:p>
    <w:p w14:paraId="79F4A14F">
      <w:pPr>
        <w:pStyle w:val="9"/>
        <w:rPr>
          <w:rFonts w:hint="eastAsia" w:ascii="宋体" w:hAnsi="宋体" w:eastAsia="宋体" w:cs="@仿宋_GB2312"/>
          <w:sz w:val="24"/>
          <w:highlight w:val="none"/>
          <w:u w:val="single"/>
          <w:lang w:val="en-US" w:bidi="ar"/>
        </w:rPr>
      </w:pPr>
    </w:p>
    <w:p w14:paraId="38DD59F9">
      <w:pPr>
        <w:pStyle w:val="9"/>
        <w:rPr>
          <w:rFonts w:hint="eastAsia" w:ascii="宋体" w:hAnsi="宋体" w:eastAsia="宋体" w:cs="@仿宋_GB2312"/>
          <w:sz w:val="24"/>
          <w:highlight w:val="none"/>
          <w:u w:val="single"/>
          <w:lang w:val="en-US" w:bidi="ar"/>
        </w:rPr>
      </w:pPr>
    </w:p>
    <w:p w14:paraId="1ED16C1E">
      <w:pPr>
        <w:pStyle w:val="9"/>
        <w:rPr>
          <w:rFonts w:hint="eastAsia" w:ascii="宋体" w:hAnsi="宋体" w:eastAsia="宋体" w:cs="@仿宋_GB2312"/>
          <w:sz w:val="24"/>
          <w:highlight w:val="none"/>
          <w:u w:val="single"/>
          <w:lang w:val="en-US" w:bidi="ar"/>
        </w:rPr>
      </w:pPr>
    </w:p>
    <w:p w14:paraId="632D7963">
      <w:pPr>
        <w:pStyle w:val="9"/>
        <w:rPr>
          <w:rFonts w:hint="eastAsia" w:ascii="宋体" w:hAnsi="宋体" w:eastAsia="宋体" w:cs="@仿宋_GB2312"/>
          <w:sz w:val="24"/>
          <w:highlight w:val="none"/>
          <w:u w:val="single"/>
          <w:lang w:val="en-US" w:bidi="ar"/>
        </w:rPr>
      </w:pPr>
    </w:p>
    <w:p w14:paraId="6296B789">
      <w:pPr>
        <w:pStyle w:val="9"/>
        <w:rPr>
          <w:rFonts w:hint="eastAsia" w:ascii="宋体" w:hAnsi="宋体" w:eastAsia="宋体" w:cs="@仿宋_GB2312"/>
          <w:sz w:val="24"/>
          <w:highlight w:val="none"/>
          <w:u w:val="single"/>
          <w:lang w:val="en-US" w:bidi="ar"/>
        </w:rPr>
      </w:pPr>
    </w:p>
    <w:p w14:paraId="4B0BE42D">
      <w:pPr>
        <w:pStyle w:val="9"/>
        <w:rPr>
          <w:rFonts w:hint="eastAsia" w:ascii="宋体" w:hAnsi="宋体" w:eastAsia="宋体" w:cs="@仿宋_GB2312"/>
          <w:sz w:val="24"/>
          <w:highlight w:val="none"/>
          <w:u w:val="single"/>
          <w:lang w:val="en-US" w:bidi="ar"/>
        </w:rPr>
      </w:pPr>
    </w:p>
    <w:p w14:paraId="223D7149">
      <w:pPr>
        <w:pStyle w:val="9"/>
        <w:rPr>
          <w:rFonts w:hint="eastAsia" w:ascii="宋体" w:hAnsi="宋体" w:eastAsia="宋体" w:cs="@仿宋_GB2312"/>
          <w:sz w:val="24"/>
          <w:highlight w:val="none"/>
          <w:u w:val="single"/>
          <w:lang w:val="en-US" w:bidi="ar"/>
        </w:rPr>
      </w:pPr>
    </w:p>
    <w:p w14:paraId="2A2FB651">
      <w:pPr>
        <w:pStyle w:val="9"/>
        <w:rPr>
          <w:rFonts w:hint="eastAsia" w:ascii="宋体" w:hAnsi="宋体" w:eastAsia="宋体" w:cs="@仿宋_GB2312"/>
          <w:sz w:val="24"/>
          <w:highlight w:val="none"/>
          <w:u w:val="single"/>
          <w:lang w:val="en-US" w:bidi="ar"/>
        </w:rPr>
      </w:pPr>
    </w:p>
    <w:p w14:paraId="03720F21">
      <w:pPr>
        <w:pStyle w:val="9"/>
        <w:rPr>
          <w:rFonts w:hint="eastAsia" w:ascii="宋体" w:hAnsi="宋体" w:eastAsia="宋体" w:cs="@仿宋_GB2312"/>
          <w:sz w:val="24"/>
          <w:highlight w:val="none"/>
          <w:u w:val="single"/>
          <w:lang w:val="en-US" w:bidi="ar"/>
        </w:rPr>
      </w:pPr>
    </w:p>
    <w:p w14:paraId="49BB2653">
      <w:pPr>
        <w:pStyle w:val="9"/>
        <w:rPr>
          <w:rFonts w:hint="eastAsia" w:ascii="宋体" w:hAnsi="宋体" w:eastAsia="宋体" w:cs="@仿宋_GB2312"/>
          <w:sz w:val="24"/>
          <w:highlight w:val="none"/>
          <w:u w:val="single"/>
          <w:lang w:val="en-US" w:bidi="ar"/>
        </w:rPr>
      </w:pPr>
    </w:p>
    <w:p w14:paraId="2BBA26FB">
      <w:pPr>
        <w:pStyle w:val="9"/>
        <w:rPr>
          <w:rFonts w:hint="eastAsia" w:ascii="宋体" w:hAnsi="宋体" w:eastAsia="宋体" w:cs="@仿宋_GB2312"/>
          <w:sz w:val="24"/>
          <w:highlight w:val="none"/>
          <w:u w:val="single"/>
          <w:lang w:val="en-US" w:bidi="ar"/>
        </w:rPr>
      </w:pPr>
    </w:p>
    <w:p w14:paraId="1F762315">
      <w:pPr>
        <w:pStyle w:val="9"/>
        <w:rPr>
          <w:rFonts w:hint="eastAsia" w:ascii="宋体" w:hAnsi="宋体" w:eastAsia="宋体" w:cs="@仿宋_GB2312"/>
          <w:sz w:val="24"/>
          <w:highlight w:val="none"/>
          <w:u w:val="single"/>
          <w:lang w:val="en-US" w:bidi="ar"/>
        </w:rPr>
      </w:pPr>
    </w:p>
    <w:p w14:paraId="28C43B99">
      <w:pPr>
        <w:pStyle w:val="9"/>
        <w:rPr>
          <w:rFonts w:hint="eastAsia" w:ascii="宋体" w:hAnsi="宋体" w:eastAsia="宋体" w:cs="@仿宋_GB2312"/>
          <w:sz w:val="24"/>
          <w:highlight w:val="none"/>
          <w:u w:val="single"/>
          <w:lang w:val="en-US" w:bidi="ar"/>
        </w:rPr>
      </w:pPr>
    </w:p>
    <w:p w14:paraId="122CA370">
      <w:pPr>
        <w:pStyle w:val="9"/>
        <w:rPr>
          <w:rFonts w:hint="eastAsia" w:ascii="宋体" w:hAnsi="宋体" w:eastAsia="宋体" w:cs="@仿宋_GB2312"/>
          <w:sz w:val="24"/>
          <w:highlight w:val="none"/>
          <w:u w:val="single"/>
          <w:lang w:val="en-US" w:bidi="ar"/>
        </w:rPr>
      </w:pPr>
    </w:p>
    <w:p w14:paraId="5586CC1D">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w:t>
      </w:r>
      <w:r>
        <w:rPr>
          <w:rFonts w:asciiTheme="minorEastAsia" w:hAnsiTheme="minorEastAsia" w:eastAsiaTheme="minorEastAsia"/>
          <w:b/>
          <w:sz w:val="28"/>
          <w:highlight w:val="none"/>
        </w:rPr>
        <w:t>投标人须知</w:t>
      </w:r>
      <w:bookmarkEnd w:id="3"/>
    </w:p>
    <w:p w14:paraId="2F5158DE">
      <w:pPr>
        <w:spacing w:line="360" w:lineRule="auto"/>
        <w:jc w:val="center"/>
        <w:outlineLvl w:val="1"/>
        <w:rPr>
          <w:rFonts w:hint="eastAsia" w:asciiTheme="minorEastAsia" w:hAnsiTheme="minorEastAsia" w:eastAsiaTheme="minorEastAsia"/>
          <w:b/>
          <w:sz w:val="24"/>
          <w:highlight w:val="none"/>
        </w:rPr>
      </w:pPr>
      <w:bookmarkStart w:id="32" w:name="_Toc3114"/>
      <w:bookmarkStart w:id="33" w:name="_Toc7178"/>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投标人须知前附表</w:t>
      </w:r>
      <w:bookmarkEnd w:id="32"/>
      <w:bookmarkEnd w:id="33"/>
    </w:p>
    <w:p w14:paraId="5ECAF871">
      <w:pPr>
        <w:spacing w:line="360" w:lineRule="auto"/>
        <w:ind w:firstLine="435"/>
        <w:rPr>
          <w:rFonts w:hint="eastAsia"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本表是本项目的具体要求，是对投标人须知的具体补充和修改，如有不一致，以本表为准。</w:t>
      </w:r>
    </w:p>
    <w:tbl>
      <w:tblPr>
        <w:tblStyle w:val="26"/>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3"/>
        <w:gridCol w:w="5618"/>
      </w:tblGrid>
      <w:tr w14:paraId="79E3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AE0E279">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条款号</w:t>
            </w:r>
          </w:p>
        </w:tc>
        <w:tc>
          <w:tcPr>
            <w:tcW w:w="1174" w:type="pct"/>
            <w:vAlign w:val="center"/>
          </w:tcPr>
          <w:p w14:paraId="105D1713">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条款名称</w:t>
            </w:r>
          </w:p>
        </w:tc>
        <w:tc>
          <w:tcPr>
            <w:tcW w:w="3244" w:type="pct"/>
            <w:vAlign w:val="center"/>
          </w:tcPr>
          <w:p w14:paraId="5E4AE295">
            <w:pPr>
              <w:pStyle w:val="44"/>
              <w:widowControl w:val="0"/>
              <w:spacing w:before="0" w:beforeAutospacing="0" w:after="0" w:afterAutospacing="0" w:line="400" w:lineRule="exact"/>
              <w:ind w:firstLine="45"/>
              <w:rPr>
                <w:rFonts w:hint="eastAsia" w:ascii="宋体" w:hAnsi="宋体" w:eastAsia="宋体"/>
                <w:bCs w:val="0"/>
                <w:color w:val="000000" w:themeColor="text1"/>
                <w:kern w:val="2"/>
                <w:sz w:val="24"/>
                <w:szCs w:val="20"/>
                <w14:textFill>
                  <w14:solidFill>
                    <w14:schemeClr w14:val="tx1"/>
                  </w14:solidFill>
                </w14:textFill>
              </w:rPr>
            </w:pPr>
            <w:r>
              <w:rPr>
                <w:rFonts w:hint="eastAsia" w:ascii="宋体" w:hAnsi="宋体" w:eastAsia="宋体"/>
                <w:bCs w:val="0"/>
                <w:color w:val="000000" w:themeColor="text1"/>
                <w:kern w:val="2"/>
                <w:sz w:val="24"/>
                <w:szCs w:val="20"/>
                <w14:textFill>
                  <w14:solidFill>
                    <w14:schemeClr w14:val="tx1"/>
                  </w14:solidFill>
                </w14:textFill>
              </w:rPr>
              <w:t>内容、说明与要求</w:t>
            </w:r>
          </w:p>
        </w:tc>
      </w:tr>
      <w:tr w14:paraId="4815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03B5C09">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5</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20467B98">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现场考察或标前答疑会</w:t>
            </w:r>
          </w:p>
        </w:tc>
        <w:tc>
          <w:tcPr>
            <w:tcW w:w="3244" w:type="pct"/>
            <w:vAlign w:val="center"/>
          </w:tcPr>
          <w:p w14:paraId="4B004425">
            <w:pPr>
              <w:spacing w:line="400" w:lineRule="exact"/>
              <w:ind w:firstLine="45"/>
              <w:rPr>
                <w:rFonts w:hint="eastAsia" w:ascii="宋体" w:hAnsi="宋体" w:eastAsia="宋体"/>
                <w:bCs/>
                <w:color w:val="000000" w:themeColor="text1"/>
                <w:sz w:val="24"/>
                <w14:textFill>
                  <w14:solidFill>
                    <w14:schemeClr w14:val="tx1"/>
                  </w14:solidFill>
                </w14:textFill>
              </w:rPr>
            </w:pPr>
            <w:r>
              <w:rPr>
                <w:rFonts w:ascii="Segoe UI Symbol" w:hAnsi="Segoe UI Symbol" w:eastAsia="宋体" w:cs="Segoe UI Symbol"/>
                <w:bCs/>
                <w:color w:val="000000" w:themeColor="text1"/>
                <w:sz w:val="24"/>
                <w:szCs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不组织或不召开</w:t>
            </w:r>
          </w:p>
          <w:p w14:paraId="644315AF">
            <w:pPr>
              <w:spacing w:line="400" w:lineRule="exact"/>
              <w:ind w:firstLine="45"/>
              <w:rPr>
                <w:rFonts w:hint="eastAsia" w:ascii="宋体" w:hAnsi="宋体" w:eastAsia="宋体"/>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宋体" w:hAnsi="宋体" w:eastAsia="宋体"/>
                <w:bCs/>
                <w:color w:val="000000" w:themeColor="text1"/>
                <w:sz w:val="24"/>
                <w14:textFill>
                  <w14:solidFill>
                    <w14:schemeClr w14:val="tx1"/>
                  </w14:solidFill>
                </w14:textFill>
              </w:rPr>
              <w:t>统一组织或统一召开</w:t>
            </w:r>
          </w:p>
          <w:p w14:paraId="7CA3B708">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时间：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年</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月</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日</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时</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14:textFill>
                  <w14:solidFill>
                    <w14:schemeClr w14:val="tx1"/>
                  </w14:solidFill>
                </w14:textFill>
              </w:rPr>
              <w:t>分</w:t>
            </w:r>
          </w:p>
          <w:p w14:paraId="2FB1B3A8">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地点：</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F45F059">
            <w:pPr>
              <w:spacing w:line="400" w:lineRule="exact"/>
              <w:ind w:firstLine="45"/>
              <w:rPr>
                <w:rFonts w:hint="eastAsia" w:ascii="宋体" w:hAnsi="宋体" w:eastAsia="宋体"/>
                <w:bCs/>
                <w:color w:val="000000" w:themeColor="text1"/>
                <w:sz w:val="24"/>
                <w:u w:val="single"/>
                <w14:textFill>
                  <w14:solidFill>
                    <w14:schemeClr w14:val="tx1"/>
                  </w14:solidFill>
                </w14:textFill>
              </w:rPr>
            </w:pPr>
            <w:r>
              <w:rPr>
                <w:rFonts w:hint="eastAsia" w:ascii="宋体" w:hAnsi="宋体" w:eastAsia="宋体"/>
                <w:bCs/>
                <w:color w:val="000000" w:themeColor="text1"/>
                <w:sz w:val="24"/>
                <w14:textFill>
                  <w14:solidFill>
                    <w14:schemeClr w14:val="tx1"/>
                  </w14:solidFill>
                </w14:textFill>
              </w:rPr>
              <w:t>联系人及联系电话：</w:t>
            </w:r>
            <w:r>
              <w:rPr>
                <w:rFonts w:hint="eastAsia" w:ascii="宋体" w:hAnsi="宋体" w:eastAsia="宋体"/>
                <w:bCs/>
                <w:color w:val="000000" w:themeColor="text1"/>
                <w:sz w:val="24"/>
                <w:u w:val="single"/>
                <w14:textFill>
                  <w14:solidFill>
                    <w14:schemeClr w14:val="tx1"/>
                  </w14:solidFill>
                </w14:textFill>
              </w:rPr>
              <w:t xml:space="preserve"> </w:t>
            </w:r>
            <w:r>
              <w:rPr>
                <w:rFonts w:ascii="宋体" w:hAnsi="宋体" w:eastAsia="宋体"/>
                <w:bCs/>
                <w:color w:val="000000" w:themeColor="text1"/>
                <w:sz w:val="24"/>
                <w:u w:val="single"/>
                <w14:textFill>
                  <w14:solidFill>
                    <w14:schemeClr w14:val="tx1"/>
                  </w14:solidFill>
                </w14:textFill>
              </w:rPr>
              <w:t xml:space="preserve">  </w:t>
            </w:r>
            <w:r>
              <w:rPr>
                <w:rFonts w:hint="eastAsia" w:ascii="宋体" w:hAnsi="宋体" w:eastAsia="宋体"/>
                <w:bCs/>
                <w:color w:val="000000" w:themeColor="text1"/>
                <w:sz w:val="24"/>
                <w:u w:val="single"/>
                <w14:textFill>
                  <w14:solidFill>
                    <w14:schemeClr w14:val="tx1"/>
                  </w14:solidFill>
                </w14:textFill>
              </w:rPr>
              <w:t>/</w:t>
            </w:r>
            <w:r>
              <w:rPr>
                <w:rFonts w:ascii="宋体" w:hAnsi="宋体" w:eastAsia="宋体"/>
                <w:bCs/>
                <w:color w:val="000000" w:themeColor="text1"/>
                <w:sz w:val="24"/>
                <w:u w:val="single"/>
                <w14:textFill>
                  <w14:solidFill>
                    <w14:schemeClr w14:val="tx1"/>
                  </w14:solidFill>
                </w14:textFill>
              </w:rPr>
              <w:t xml:space="preserve">        </w:t>
            </w:r>
          </w:p>
          <w:p w14:paraId="492268A3">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注：如投标人未参加采购人统一组织的现场考察或采购人统一召开的标前答疑会，视同放弃现场考察或标前答疑会，由此引起的一切责任由投标人自行承担。</w:t>
            </w:r>
          </w:p>
        </w:tc>
      </w:tr>
      <w:tr w14:paraId="4FDD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BB491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6</w:t>
            </w:r>
            <w:r>
              <w:rPr>
                <w:rFonts w:ascii="宋体" w:hAnsi="宋体" w:eastAsia="宋体"/>
                <w:bCs/>
                <w:color w:val="000000" w:themeColor="text1"/>
                <w:kern w:val="2"/>
                <w14:textFill>
                  <w14:solidFill>
                    <w14:schemeClr w14:val="tx1"/>
                  </w14:solidFill>
                </w14:textFill>
              </w:rPr>
              <w:t>.1</w:t>
            </w:r>
          </w:p>
        </w:tc>
        <w:tc>
          <w:tcPr>
            <w:tcW w:w="1174" w:type="pct"/>
            <w:vAlign w:val="center"/>
          </w:tcPr>
          <w:p w14:paraId="67EEE35F">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网上询问截止时间</w:t>
            </w:r>
          </w:p>
        </w:tc>
        <w:tc>
          <w:tcPr>
            <w:tcW w:w="3244" w:type="pct"/>
            <w:vAlign w:val="center"/>
          </w:tcPr>
          <w:p w14:paraId="52959764">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2025</w:t>
            </w:r>
            <w:r>
              <w:rPr>
                <w:rFonts w:ascii="宋体" w:hAnsi="宋体" w:eastAsia="宋体"/>
                <w:b w:val="0"/>
                <w:color w:val="000000" w:themeColor="text1"/>
                <w:sz w:val="24"/>
                <w14:textFill>
                  <w14:solidFill>
                    <w14:schemeClr w14:val="tx1"/>
                  </w14:solidFill>
                </w14:textFill>
              </w:rPr>
              <w:t>年</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8</w:t>
            </w:r>
            <w:r>
              <w:rPr>
                <w:rFonts w:hint="eastAsia" w:ascii="宋体" w:hAnsi="宋体" w:eastAsia="宋体"/>
                <w:b w:val="0"/>
                <w:color w:val="000000" w:themeColor="text1"/>
                <w:sz w:val="24"/>
                <w:u w:val="single"/>
                <w14:textFill>
                  <w14:solidFill>
                    <w14:schemeClr w14:val="tx1"/>
                  </w14:solidFill>
                </w14:textFill>
              </w:rPr>
              <w:t xml:space="preserve"> </w:t>
            </w:r>
            <w:r>
              <w:rPr>
                <w:rFonts w:ascii="宋体" w:hAnsi="宋体" w:eastAsia="宋体"/>
                <w:b w:val="0"/>
                <w:color w:val="000000" w:themeColor="text1"/>
                <w:sz w:val="24"/>
                <w14:textFill>
                  <w14:solidFill>
                    <w14:schemeClr w14:val="tx1"/>
                  </w14:solidFill>
                </w14:textFill>
              </w:rPr>
              <w:t>月</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 xml:space="preserve"> 4</w:t>
            </w:r>
            <w:r>
              <w:rPr>
                <w:rFonts w:ascii="宋体" w:hAnsi="宋体" w:eastAsia="宋体"/>
                <w:b w:val="0"/>
                <w:color w:val="000000" w:themeColor="text1"/>
                <w:sz w:val="24"/>
                <w14:textFill>
                  <w14:solidFill>
                    <w14:schemeClr w14:val="tx1"/>
                  </w14:solidFill>
                </w14:textFill>
              </w:rPr>
              <w:t>日</w:t>
            </w:r>
            <w:r>
              <w:rPr>
                <w:rFonts w:hint="eastAsia" w:ascii="宋体" w:hAnsi="宋体" w:eastAsia="宋体"/>
                <w:b w:val="0"/>
                <w:color w:val="000000" w:themeColor="text1"/>
                <w:sz w:val="24"/>
                <w:u w:val="single"/>
                <w14:textFill>
                  <w14:solidFill>
                    <w14:schemeClr w14:val="tx1"/>
                  </w14:solidFill>
                </w14:textFill>
              </w:rPr>
              <w:t>17</w:t>
            </w:r>
            <w:r>
              <w:rPr>
                <w:rFonts w:ascii="宋体" w:hAnsi="宋体" w:eastAsia="宋体"/>
                <w:b w:val="0"/>
                <w:color w:val="000000" w:themeColor="text1"/>
                <w:sz w:val="24"/>
                <w14:textFill>
                  <w14:solidFill>
                    <w14:schemeClr w14:val="tx1"/>
                  </w14:solidFill>
                </w14:textFill>
              </w:rPr>
              <w:t>时</w:t>
            </w:r>
            <w:r>
              <w:rPr>
                <w:rFonts w:hint="eastAsia" w:ascii="宋体" w:hAnsi="宋体" w:eastAsia="宋体"/>
                <w:b w:val="0"/>
                <w:color w:val="000000" w:themeColor="text1"/>
                <w:sz w:val="24"/>
                <w:u w:val="single"/>
                <w14:textFill>
                  <w14:solidFill>
                    <w14:schemeClr w14:val="tx1"/>
                  </w14:solidFill>
                </w14:textFill>
              </w:rPr>
              <w:t>00</w:t>
            </w:r>
            <w:r>
              <w:rPr>
                <w:rFonts w:hint="eastAsia" w:ascii="宋体" w:hAnsi="宋体" w:eastAsia="宋体"/>
                <w:b w:val="0"/>
                <w:color w:val="000000" w:themeColor="text1"/>
                <w:sz w:val="24"/>
                <w14:textFill>
                  <w14:solidFill>
                    <w14:schemeClr w14:val="tx1"/>
                  </w14:solidFill>
                </w14:textFill>
              </w:rPr>
              <w:t>分</w:t>
            </w:r>
          </w:p>
        </w:tc>
      </w:tr>
      <w:tr w14:paraId="53E5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79D67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7</w:t>
            </w:r>
            <w:r>
              <w:rPr>
                <w:rFonts w:ascii="宋体" w:hAnsi="宋体" w:eastAsia="宋体"/>
                <w:bCs/>
                <w:color w:val="000000" w:themeColor="text1"/>
                <w:kern w:val="2"/>
                <w14:textFill>
                  <w14:solidFill>
                    <w14:schemeClr w14:val="tx1"/>
                  </w14:solidFill>
                </w14:textFill>
              </w:rPr>
              <w:t>.1</w:t>
            </w:r>
          </w:p>
        </w:tc>
        <w:tc>
          <w:tcPr>
            <w:tcW w:w="1174" w:type="pct"/>
            <w:vAlign w:val="center"/>
          </w:tcPr>
          <w:p w14:paraId="3CA74987">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包别划分</w:t>
            </w:r>
          </w:p>
        </w:tc>
        <w:tc>
          <w:tcPr>
            <w:tcW w:w="3244" w:type="pct"/>
            <w:vAlign w:val="center"/>
          </w:tcPr>
          <w:p w14:paraId="78BCA69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不分包     □分为</w:t>
            </w:r>
            <w:r>
              <w:rPr>
                <w:rFonts w:hint="eastAsia" w:ascii="宋体" w:hAnsi="宋体" w:eastAsia="宋体"/>
                <w:b w:val="0"/>
                <w:color w:val="000000" w:themeColor="text1"/>
                <w:sz w:val="24"/>
                <w:u w:val="single"/>
                <w14:textFill>
                  <w14:solidFill>
                    <w14:schemeClr w14:val="tx1"/>
                  </w14:solidFill>
                </w14:textFill>
              </w:rPr>
              <w:t>/</w:t>
            </w:r>
            <w:r>
              <w:rPr>
                <w:rFonts w:ascii="宋体" w:hAnsi="宋体" w:eastAsia="宋体"/>
                <w:b w:val="0"/>
                <w:color w:val="000000" w:themeColor="text1"/>
                <w:sz w:val="24"/>
                <w14:textFill>
                  <w14:solidFill>
                    <w14:schemeClr w14:val="tx1"/>
                  </w14:solidFill>
                </w14:textFill>
              </w:rPr>
              <w:t xml:space="preserve"> 个包</w:t>
            </w:r>
          </w:p>
          <w:p w14:paraId="7850EEC9">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投标人对多个包进行投标的中标</w:t>
            </w:r>
            <w:r>
              <w:rPr>
                <w:rFonts w:ascii="宋体" w:hAnsi="宋体" w:eastAsia="宋体"/>
                <w:b w:val="0"/>
                <w:color w:val="000000" w:themeColor="text1"/>
                <w:sz w:val="24"/>
                <w14:textFill>
                  <w14:solidFill>
                    <w14:schemeClr w14:val="tx1"/>
                  </w14:solidFill>
                </w14:textFill>
              </w:rPr>
              <w:t>包</w:t>
            </w:r>
            <w:r>
              <w:rPr>
                <w:rFonts w:hint="eastAsia" w:ascii="宋体" w:hAnsi="宋体" w:eastAsia="宋体"/>
                <w:b w:val="0"/>
                <w:color w:val="000000" w:themeColor="text1"/>
                <w:sz w:val="24"/>
                <w14:textFill>
                  <w14:solidFill>
                    <w14:schemeClr w14:val="tx1"/>
                  </w14:solidFill>
                </w14:textFill>
              </w:rPr>
              <w:t>数规定：</w:t>
            </w:r>
            <w:r>
              <w:rPr>
                <w:rFonts w:hint="eastAsia" w:ascii="宋体" w:hAnsi="宋体" w:eastAsia="宋体"/>
                <w:b w:val="0"/>
                <w:bCs w:val="0"/>
                <w:color w:val="000000" w:themeColor="text1"/>
                <w:sz w:val="24"/>
                <w:szCs w:val="18"/>
                <w:u w:val="single"/>
                <w14:textFill>
                  <w14:solidFill>
                    <w14:schemeClr w14:val="tx1"/>
                  </w14:solidFill>
                </w14:textFill>
              </w:rPr>
              <w:t>/</w:t>
            </w:r>
            <w:r>
              <w:rPr>
                <w:rFonts w:ascii="宋体" w:hAnsi="宋体" w:eastAsia="宋体"/>
                <w:b w:val="0"/>
                <w:bCs w:val="0"/>
                <w:color w:val="000000" w:themeColor="text1"/>
                <w:sz w:val="24"/>
                <w:szCs w:val="18"/>
                <w:u w:val="single"/>
                <w14:textFill>
                  <w14:solidFill>
                    <w14:schemeClr w14:val="tx1"/>
                  </w14:solidFill>
                </w14:textFill>
              </w:rPr>
              <w:t xml:space="preserve">  </w:t>
            </w:r>
          </w:p>
        </w:tc>
      </w:tr>
      <w:tr w14:paraId="7CC3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28080F9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10</w:t>
            </w:r>
            <w:r>
              <w:rPr>
                <w:rFonts w:ascii="宋体" w:hAnsi="宋体" w:eastAsia="宋体"/>
                <w:bCs/>
                <w:color w:val="000000" w:themeColor="text1"/>
                <w:kern w:val="2"/>
                <w14:textFill>
                  <w14:solidFill>
                    <w14:schemeClr w14:val="tx1"/>
                  </w14:solidFill>
                </w14:textFill>
              </w:rPr>
              <w:t>.1</w:t>
            </w:r>
          </w:p>
        </w:tc>
        <w:tc>
          <w:tcPr>
            <w:tcW w:w="1174" w:type="pct"/>
            <w:vAlign w:val="center"/>
          </w:tcPr>
          <w:p w14:paraId="5849C2CE">
            <w:pPr>
              <w:pStyle w:val="44"/>
              <w:widowControl w:val="0"/>
              <w:spacing w:before="0" w:beforeAutospacing="0" w:after="0" w:afterAutospacing="0" w:line="400" w:lineRule="exact"/>
              <w:ind w:firstLine="45"/>
              <w:jc w:val="left"/>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投标保证金</w:t>
            </w:r>
          </w:p>
        </w:tc>
        <w:tc>
          <w:tcPr>
            <w:tcW w:w="3244" w:type="pct"/>
            <w:vAlign w:val="center"/>
          </w:tcPr>
          <w:p w14:paraId="20C33B38">
            <w:pPr>
              <w:spacing w:line="400" w:lineRule="exact"/>
              <w:ind w:firstLine="45"/>
              <w:rPr>
                <w:rFonts w:hint="eastAsia"/>
                <w:color w:val="000000" w:themeColor="text1"/>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不收取</w:t>
            </w:r>
          </w:p>
        </w:tc>
      </w:tr>
      <w:tr w14:paraId="15B2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6EF373D">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11</w:t>
            </w:r>
            <w:r>
              <w:rPr>
                <w:rFonts w:ascii="宋体" w:hAnsi="宋体" w:eastAsia="宋体"/>
                <w:bCs/>
                <w:color w:val="000000" w:themeColor="text1"/>
                <w:kern w:val="2"/>
                <w14:textFill>
                  <w14:solidFill>
                    <w14:schemeClr w14:val="tx1"/>
                  </w14:solidFill>
                </w14:textFill>
              </w:rPr>
              <w:t>.1</w:t>
            </w:r>
          </w:p>
        </w:tc>
        <w:tc>
          <w:tcPr>
            <w:tcW w:w="1174" w:type="pct"/>
            <w:vAlign w:val="center"/>
          </w:tcPr>
          <w:p w14:paraId="5227182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投标有效期</w:t>
            </w:r>
          </w:p>
        </w:tc>
        <w:tc>
          <w:tcPr>
            <w:tcW w:w="3244" w:type="pct"/>
            <w:vAlign w:val="center"/>
          </w:tcPr>
          <w:p w14:paraId="40D710F3">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 xml:space="preserve"> 60 个</w:t>
            </w:r>
            <w:r>
              <w:rPr>
                <w:rFonts w:hint="eastAsia" w:ascii="宋体" w:hAnsi="宋体" w:eastAsia="宋体"/>
                <w:b w:val="0"/>
                <w:color w:val="000000" w:themeColor="text1"/>
                <w:sz w:val="24"/>
                <w14:textFill>
                  <w14:solidFill>
                    <w14:schemeClr w14:val="tx1"/>
                  </w14:solidFill>
                </w14:textFill>
              </w:rPr>
              <w:t>日历日</w:t>
            </w:r>
          </w:p>
        </w:tc>
      </w:tr>
      <w:tr w14:paraId="1287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8C0D6D7">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12.3</w:t>
            </w:r>
          </w:p>
        </w:tc>
        <w:tc>
          <w:tcPr>
            <w:tcW w:w="1174" w:type="pct"/>
            <w:vAlign w:val="center"/>
          </w:tcPr>
          <w:p w14:paraId="48FEE167">
            <w:pPr>
              <w:widowControl/>
              <w:spacing w:line="400" w:lineRule="exact"/>
              <w:ind w:firstLine="45"/>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提交投标文件截止时间和地点</w:t>
            </w:r>
          </w:p>
        </w:tc>
        <w:tc>
          <w:tcPr>
            <w:tcW w:w="3244" w:type="pct"/>
            <w:vAlign w:val="center"/>
          </w:tcPr>
          <w:p w14:paraId="751A0A73">
            <w:pPr>
              <w:autoSpaceDE w:val="0"/>
              <w:spacing w:line="400" w:lineRule="exact"/>
              <w:ind w:firstLine="45"/>
              <w:outlineLvl w:val="2"/>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时间：</w:t>
            </w:r>
            <w:r>
              <w:rPr>
                <w:rFonts w:hint="eastAsia" w:ascii="宋体" w:hAnsi="宋体" w:eastAsia="宋体"/>
                <w:color w:val="000000" w:themeColor="text1"/>
                <w:sz w:val="24"/>
                <w:u w:val="single"/>
                <w14:textFill>
                  <w14:solidFill>
                    <w14:schemeClr w14:val="tx1"/>
                  </w14:solidFill>
                </w14:textFill>
              </w:rPr>
              <w:t>2025</w:t>
            </w:r>
            <w:r>
              <w:rPr>
                <w:rFonts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lang w:val="en-US" w:eastAsia="zh-CN"/>
                <w14:textFill>
                  <w14:solidFill>
                    <w14:schemeClr w14:val="tx1"/>
                  </w14:solidFill>
                </w14:textFill>
              </w:rPr>
              <w:t xml:space="preserve"> 8</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月</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u w:val="single"/>
                <w:lang w:val="en-US" w:eastAsia="zh-CN"/>
                <w14:textFill>
                  <w14:solidFill>
                    <w14:schemeClr w14:val="tx1"/>
                  </w14:solidFill>
                </w14:textFill>
              </w:rPr>
              <w:t>5</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14:textFill>
                  <w14:solidFill>
                    <w14:schemeClr w14:val="tx1"/>
                  </w14:solidFill>
                </w14:textFill>
              </w:rPr>
              <w:t>日</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 xml:space="preserve"> 15 </w:t>
            </w:r>
            <w:r>
              <w:rPr>
                <w:rFonts w:hint="eastAsia" w:ascii="宋体" w:hAnsi="宋体" w:eastAsia="宋体" w:cs="宋体"/>
                <w:bCs/>
                <w:color w:val="000000" w:themeColor="text1"/>
                <w:sz w:val="24"/>
                <w:szCs w:val="24"/>
                <w:u w:val="single"/>
                <w:lang w:bidi="ar"/>
                <w14:textFill>
                  <w14:solidFill>
                    <w14:schemeClr w14:val="tx1"/>
                  </w14:solidFill>
                </w14:textFill>
              </w:rPr>
              <w:t>点</w:t>
            </w:r>
            <w:r>
              <w:rPr>
                <w:rFonts w:hint="eastAsia" w:ascii="宋体" w:hAnsi="宋体" w:eastAsia="宋体" w:cs="宋体"/>
                <w:bCs/>
                <w:color w:val="000000" w:themeColor="text1"/>
                <w:sz w:val="24"/>
                <w:szCs w:val="24"/>
                <w:u w:val="single"/>
                <w:lang w:val="en-US" w:eastAsia="zh-CN" w:bidi="ar"/>
                <w14:textFill>
                  <w14:solidFill>
                    <w14:schemeClr w14:val="tx1"/>
                  </w14:solidFill>
                </w14:textFill>
              </w:rPr>
              <w:t>00</w:t>
            </w:r>
            <w:r>
              <w:rPr>
                <w:rFonts w:hint="eastAsia" w:ascii="宋体" w:hAnsi="宋体" w:eastAsia="宋体" w:cs="宋体"/>
                <w:bCs/>
                <w:color w:val="000000" w:themeColor="text1"/>
                <w:sz w:val="24"/>
                <w:szCs w:val="24"/>
                <w:u w:val="single"/>
                <w:lang w:bidi="ar"/>
                <w14:textFill>
                  <w14:solidFill>
                    <w14:schemeClr w14:val="tx1"/>
                  </w14:solidFill>
                </w14:textFill>
              </w:rPr>
              <w:t>分（</w:t>
            </w:r>
            <w:r>
              <w:rPr>
                <w:rFonts w:hint="eastAsia" w:ascii="宋体" w:hAnsi="宋体" w:eastAsia="宋体" w:cs="宋体"/>
                <w:bCs/>
                <w:color w:val="000000" w:themeColor="text1"/>
                <w:sz w:val="24"/>
                <w:szCs w:val="24"/>
                <w:lang w:bidi="ar"/>
                <w14:textFill>
                  <w14:solidFill>
                    <w14:schemeClr w14:val="tx1"/>
                  </w14:solidFill>
                </w14:textFill>
              </w:rPr>
              <w:t>北京时间）</w:t>
            </w:r>
          </w:p>
          <w:p w14:paraId="030FDC69">
            <w:pPr>
              <w:autoSpaceDE w:val="0"/>
              <w:spacing w:line="400" w:lineRule="exact"/>
              <w:ind w:firstLine="45"/>
              <w:outlineLvl w:val="2"/>
              <w:rPr>
                <w:rFonts w:hint="eastAsia" w:ascii="宋体" w:hAnsi="宋体" w:eastAsia="宋体"/>
                <w:color w:val="000000" w:themeColor="text1"/>
                <w:sz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地点：</w:t>
            </w:r>
            <w:r>
              <w:rPr>
                <w:rFonts w:hint="eastAsia" w:asciiTheme="minorEastAsia" w:hAnsiTheme="minorEastAsia" w:eastAsiaTheme="minorEastAsia"/>
                <w:color w:val="000000" w:themeColor="text1"/>
                <w:sz w:val="24"/>
                <w:szCs w:val="18"/>
                <w14:textFill>
                  <w14:solidFill>
                    <w14:schemeClr w14:val="tx1"/>
                  </w14:solidFill>
                </w14:textFill>
              </w:rPr>
              <w:t>滁州市醉翁西路369号，滁州市第一人民医院南区行政部五楼西招标办（请各投标人在投标文件提交截止时间前将投标文件递送或邮寄至滁州市第一人民医院南区行政部五楼西招标办，招标办联系电话：0550-3526032；采用邮寄方式提交，供应商请自行计算好邮件路途中所需的时间，逾期的，概不接受）。</w:t>
            </w:r>
          </w:p>
        </w:tc>
      </w:tr>
      <w:tr w14:paraId="20BF9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B035FC">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13.1</w:t>
            </w:r>
          </w:p>
        </w:tc>
        <w:tc>
          <w:tcPr>
            <w:tcW w:w="1174" w:type="pct"/>
            <w:shd w:val="clear" w:color="auto" w:fill="auto"/>
            <w:vAlign w:val="center"/>
          </w:tcPr>
          <w:p w14:paraId="1C140008">
            <w:pPr>
              <w:widowControl/>
              <w:spacing w:line="400" w:lineRule="exact"/>
              <w:ind w:firstLine="45"/>
              <w:jc w:val="left"/>
              <w:rPr>
                <w:rFonts w:hint="eastAsia" w:ascii="宋体" w:hAnsi="宋体" w:eastAsia="宋体" w:cs="宋体"/>
                <w:b/>
                <w:bCs/>
                <w:color w:val="000000" w:themeColor="text1"/>
                <w:sz w:val="24"/>
                <w:szCs w:val="24"/>
                <w:lang w:bidi="ar"/>
                <w14:textFill>
                  <w14:solidFill>
                    <w14:schemeClr w14:val="tx1"/>
                  </w14:solidFill>
                </w14:textFill>
              </w:rPr>
            </w:pPr>
            <w:r>
              <w:rPr>
                <w:rFonts w:hint="eastAsia" w:ascii="宋体" w:hAnsi="宋体" w:eastAsia="宋体" w:cs="宋体"/>
                <w:b/>
                <w:bCs/>
                <w:color w:val="000000" w:themeColor="text1"/>
                <w:sz w:val="24"/>
                <w:szCs w:val="24"/>
                <w:lang w:bidi="ar"/>
                <w14:textFill>
                  <w14:solidFill>
                    <w14:schemeClr w14:val="tx1"/>
                  </w14:solidFill>
                </w14:textFill>
              </w:rPr>
              <w:t>开标时间和地点</w:t>
            </w:r>
          </w:p>
        </w:tc>
        <w:tc>
          <w:tcPr>
            <w:tcW w:w="3244" w:type="pct"/>
            <w:shd w:val="clear" w:color="auto" w:fill="auto"/>
            <w:vAlign w:val="center"/>
          </w:tcPr>
          <w:p w14:paraId="4651F392">
            <w:pPr>
              <w:spacing w:line="400" w:lineRule="exact"/>
              <w:ind w:firstLine="4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开标时间：</w:t>
            </w:r>
            <w:r>
              <w:rPr>
                <w:rFonts w:hint="eastAsia" w:ascii="宋体" w:hAnsi="宋体" w:eastAsia="宋体" w:cs="宋体"/>
                <w:color w:val="000000" w:themeColor="text1"/>
                <w:sz w:val="24"/>
                <w14:textFill>
                  <w14:solidFill>
                    <w14:schemeClr w14:val="tx1"/>
                  </w14:solidFill>
                </w14:textFill>
              </w:rPr>
              <w:t>2025年</w:t>
            </w:r>
            <w:r>
              <w:rPr>
                <w:rFonts w:hint="eastAsia" w:ascii="宋体" w:hAnsi="宋体" w:eastAsia="宋体" w:cs="宋体"/>
                <w:color w:val="000000" w:themeColor="text1"/>
                <w:sz w:val="24"/>
                <w:lang w:val="en-US" w:eastAsia="zh-CN"/>
                <w14:textFill>
                  <w14:solidFill>
                    <w14:schemeClr w14:val="tx1"/>
                  </w14:solidFill>
                </w14:textFill>
              </w:rPr>
              <w:t>8</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5</w:t>
            </w:r>
            <w:bookmarkStart w:id="227" w:name="_GoBack"/>
            <w:bookmarkEnd w:id="227"/>
            <w:r>
              <w:rPr>
                <w:rFonts w:hint="eastAsia" w:ascii="宋体" w:hAnsi="宋体" w:eastAsia="宋体" w:cs="宋体"/>
                <w:color w:val="000000" w:themeColor="text1"/>
                <w:sz w:val="24"/>
                <w14:textFill>
                  <w14:solidFill>
                    <w14:schemeClr w14:val="tx1"/>
                  </w14:solidFill>
                </w14:textFill>
              </w:rPr>
              <w:t xml:space="preserve">日15 时00分   </w:t>
            </w:r>
          </w:p>
          <w:p w14:paraId="50F9F883">
            <w:pPr>
              <w:autoSpaceDE w:val="0"/>
              <w:spacing w:line="400" w:lineRule="exact"/>
              <w:ind w:firstLine="45"/>
              <w:outlineLvl w:val="2"/>
              <w:rPr>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开标地点</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olor w:val="000000" w:themeColor="text1"/>
                <w:sz w:val="24"/>
                <w:szCs w:val="18"/>
                <w14:textFill>
                  <w14:solidFill>
                    <w14:schemeClr w14:val="tx1"/>
                  </w14:solidFill>
                </w14:textFill>
              </w:rPr>
              <w:t>滁州市第一人民医院南区行政部六楼会议室</w:t>
            </w:r>
            <w:r>
              <w:rPr>
                <w:rFonts w:hint="eastAsia" w:ascii="宋体" w:hAnsi="宋体" w:eastAsia="宋体" w:cs="宋体"/>
                <w:color w:val="000000" w:themeColor="text1"/>
                <w:sz w:val="24"/>
                <w14:textFill>
                  <w14:solidFill>
                    <w14:schemeClr w14:val="tx1"/>
                  </w14:solidFill>
                </w14:textFill>
              </w:rPr>
              <w:t>。</w:t>
            </w:r>
          </w:p>
        </w:tc>
      </w:tr>
      <w:tr w14:paraId="50CD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006F3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14.1</w:t>
            </w:r>
          </w:p>
        </w:tc>
        <w:tc>
          <w:tcPr>
            <w:tcW w:w="1174" w:type="pct"/>
            <w:vAlign w:val="center"/>
          </w:tcPr>
          <w:p w14:paraId="38B6E3A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资格审查</w:t>
            </w:r>
          </w:p>
        </w:tc>
        <w:tc>
          <w:tcPr>
            <w:tcW w:w="3244" w:type="pct"/>
            <w:vAlign w:val="center"/>
          </w:tcPr>
          <w:p w14:paraId="5B483557">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采购人审查</w:t>
            </w:r>
          </w:p>
          <w:p w14:paraId="7C3322D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14:textFill>
                  <w14:solidFill>
                    <w14:schemeClr w14:val="tx1"/>
                  </w14:solidFill>
                </w14:textFill>
              </w:rPr>
              <w:t>采购人出具委托函委托采购代理机构进行审查</w:t>
            </w:r>
          </w:p>
        </w:tc>
      </w:tr>
      <w:tr w14:paraId="0F95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B2BA4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17</w:t>
            </w:r>
            <w:r>
              <w:rPr>
                <w:rFonts w:ascii="宋体" w:hAnsi="宋体" w:eastAsia="宋体"/>
                <w:bCs/>
                <w:color w:val="000000" w:themeColor="text1"/>
                <w:kern w:val="2"/>
                <w14:textFill>
                  <w14:solidFill>
                    <w14:schemeClr w14:val="tx1"/>
                  </w14:solidFill>
                </w14:textFill>
              </w:rPr>
              <w:t>.2</w:t>
            </w:r>
          </w:p>
        </w:tc>
        <w:tc>
          <w:tcPr>
            <w:tcW w:w="1174" w:type="pct"/>
            <w:vAlign w:val="center"/>
          </w:tcPr>
          <w:p w14:paraId="545C4D70">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评标方法</w:t>
            </w:r>
          </w:p>
        </w:tc>
        <w:tc>
          <w:tcPr>
            <w:tcW w:w="3244" w:type="pct"/>
            <w:vAlign w:val="center"/>
          </w:tcPr>
          <w:p w14:paraId="7413ACE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最低评标价法</w:t>
            </w:r>
          </w:p>
          <w:p w14:paraId="31DD3DB6">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szCs w:val="24"/>
                <w14:textFill>
                  <w14:solidFill>
                    <w14:schemeClr w14:val="tx1"/>
                  </w14:solidFill>
                </w14:textFill>
              </w:rPr>
              <w:t>□</w:t>
            </w:r>
            <w:r>
              <w:rPr>
                <w:rFonts w:hint="eastAsia" w:ascii="宋体" w:hAnsi="宋体" w:eastAsia="宋体"/>
                <w:b w:val="0"/>
                <w:color w:val="000000" w:themeColor="text1"/>
                <w:sz w:val="24"/>
                <w14:textFill>
                  <w14:solidFill>
                    <w14:schemeClr w14:val="tx1"/>
                  </w14:solidFill>
                </w14:textFill>
              </w:rPr>
              <w:t>综合评分法</w:t>
            </w:r>
          </w:p>
        </w:tc>
      </w:tr>
      <w:tr w14:paraId="695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D842C0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1</w:t>
            </w:r>
          </w:p>
        </w:tc>
        <w:tc>
          <w:tcPr>
            <w:tcW w:w="1174" w:type="pct"/>
            <w:vAlign w:val="center"/>
          </w:tcPr>
          <w:p w14:paraId="02999A4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评标委员会推荐</w:t>
            </w:r>
            <w:r>
              <w:rPr>
                <w:rFonts w:ascii="宋体" w:hAnsi="宋体" w:eastAsia="宋体"/>
                <w:b w:val="0"/>
                <w:color w:val="000000" w:themeColor="text1"/>
                <w:sz w:val="24"/>
                <w14:textFill>
                  <w14:solidFill>
                    <w14:schemeClr w14:val="tx1"/>
                  </w14:solidFill>
                </w14:textFill>
              </w:rPr>
              <w:t>中标候选</w:t>
            </w:r>
            <w:r>
              <w:rPr>
                <w:rFonts w:hint="eastAsia" w:ascii="宋体" w:hAnsi="宋体" w:eastAsia="宋体"/>
                <w:b w:val="0"/>
                <w:color w:val="000000" w:themeColor="text1"/>
                <w:sz w:val="24"/>
                <w14:textFill>
                  <w14:solidFill>
                    <w14:schemeClr w14:val="tx1"/>
                  </w14:solidFill>
                </w14:textFill>
              </w:rPr>
              <w:t>人的</w:t>
            </w:r>
            <w:r>
              <w:rPr>
                <w:rFonts w:ascii="宋体" w:hAnsi="宋体" w:eastAsia="宋体"/>
                <w:b w:val="0"/>
                <w:color w:val="000000" w:themeColor="text1"/>
                <w:sz w:val="24"/>
                <w14:textFill>
                  <w14:solidFill>
                    <w14:schemeClr w14:val="tx1"/>
                  </w14:solidFill>
                </w14:textFill>
              </w:rPr>
              <w:t>数量</w:t>
            </w:r>
          </w:p>
        </w:tc>
        <w:tc>
          <w:tcPr>
            <w:tcW w:w="3244" w:type="pct"/>
            <w:vAlign w:val="center"/>
          </w:tcPr>
          <w:p w14:paraId="59C157C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u w:val="single"/>
                <w14:textFill>
                  <w14:solidFill>
                    <w14:schemeClr w14:val="tx1"/>
                  </w14:solidFill>
                </w14:textFill>
              </w:rPr>
            </w:pPr>
            <w:r>
              <w:rPr>
                <w:rFonts w:hint="eastAsia" w:ascii="宋体" w:hAnsi="宋体" w:eastAsia="宋体"/>
                <w:b w:val="0"/>
                <w:color w:val="000000" w:themeColor="text1"/>
                <w:sz w:val="24"/>
                <w:u w:val="single"/>
                <w14:textFill>
                  <w14:solidFill>
                    <w14:schemeClr w14:val="tx1"/>
                  </w14:solidFill>
                </w14:textFill>
              </w:rPr>
              <w:t>3家</w:t>
            </w:r>
          </w:p>
        </w:tc>
      </w:tr>
      <w:tr w14:paraId="4D7B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4525558">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2</w:t>
            </w:r>
          </w:p>
        </w:tc>
        <w:tc>
          <w:tcPr>
            <w:tcW w:w="1174" w:type="pct"/>
            <w:vAlign w:val="center"/>
          </w:tcPr>
          <w:p w14:paraId="75A1063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确定中标人</w:t>
            </w:r>
          </w:p>
        </w:tc>
        <w:tc>
          <w:tcPr>
            <w:tcW w:w="3244" w:type="pct"/>
            <w:vAlign w:val="center"/>
          </w:tcPr>
          <w:p w14:paraId="3D78E98A">
            <w:pPr>
              <w:spacing w:line="400" w:lineRule="exact"/>
              <w:ind w:firstLine="45"/>
              <w:rPr>
                <w:rFonts w:hint="eastAsia"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sym w:font="Wingdings" w:char="00A8"/>
            </w:r>
            <w:r>
              <w:rPr>
                <w:rFonts w:hint="eastAsia" w:asciiTheme="minorEastAsia" w:hAnsiTheme="minorEastAsia" w:eastAsiaTheme="minorEastAsia"/>
                <w:color w:val="000000" w:themeColor="text1"/>
                <w:kern w:val="0"/>
                <w:sz w:val="24"/>
                <w:szCs w:val="24"/>
                <w14:textFill>
                  <w14:solidFill>
                    <w14:schemeClr w14:val="tx1"/>
                  </w14:solidFill>
                </w14:textFill>
              </w:rPr>
              <w:t>采购人委托评标委员会确定</w:t>
            </w:r>
          </w:p>
          <w:p w14:paraId="62A42062">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ascii="Segoe UI Symbol" w:hAnsi="Segoe UI Symbol" w:cs="Segoe UI Symbol" w:eastAsiaTheme="minorEastAsia"/>
                <w:b w:val="0"/>
                <w:bCs w:val="0"/>
                <w:color w:val="000000" w:themeColor="text1"/>
                <w:kern w:val="2"/>
                <w:sz w:val="24"/>
                <w:szCs w:val="24"/>
                <w14:textFill>
                  <w14:solidFill>
                    <w14:schemeClr w14:val="tx1"/>
                  </w14:solidFill>
                </w14:textFill>
              </w:rPr>
              <w:t>☑</w:t>
            </w:r>
            <w:r>
              <w:rPr>
                <w:rFonts w:hint="eastAsia" w:asciiTheme="minorEastAsia" w:hAnsiTheme="minorEastAsia" w:eastAsiaTheme="minorEastAsia"/>
                <w:b w:val="0"/>
                <w:bCs w:val="0"/>
                <w:color w:val="000000" w:themeColor="text1"/>
                <w:kern w:val="2"/>
                <w:sz w:val="24"/>
                <w:szCs w:val="24"/>
                <w14:textFill>
                  <w14:solidFill>
                    <w14:schemeClr w14:val="tx1"/>
                  </w14:solidFill>
                </w14:textFill>
              </w:rPr>
              <w:t>采购人确定</w:t>
            </w:r>
          </w:p>
        </w:tc>
      </w:tr>
      <w:tr w14:paraId="3624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A8133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ascii="宋体" w:hAnsi="宋体" w:eastAsia="宋体"/>
                <w:bCs/>
                <w:color w:val="000000" w:themeColor="text1"/>
                <w:kern w:val="2"/>
                <w14:textFill>
                  <w14:solidFill>
                    <w14:schemeClr w14:val="tx1"/>
                  </w14:solidFill>
                </w14:textFill>
              </w:rPr>
              <w:t>2</w:t>
            </w:r>
            <w:r>
              <w:rPr>
                <w:rFonts w:hint="eastAsia" w:ascii="宋体" w:hAnsi="宋体" w:eastAsia="宋体"/>
                <w:bCs/>
                <w:color w:val="000000" w:themeColor="text1"/>
                <w:kern w:val="2"/>
                <w14:textFill>
                  <w14:solidFill>
                    <w14:schemeClr w14:val="tx1"/>
                  </w14:solidFill>
                </w14:textFill>
              </w:rPr>
              <w:t>3</w:t>
            </w:r>
            <w:r>
              <w:rPr>
                <w:rFonts w:ascii="宋体" w:hAnsi="宋体" w:eastAsia="宋体"/>
                <w:bCs/>
                <w:color w:val="000000" w:themeColor="text1"/>
                <w:kern w:val="2"/>
                <w14:textFill>
                  <w14:solidFill>
                    <w14:schemeClr w14:val="tx1"/>
                  </w14:solidFill>
                </w14:textFill>
              </w:rPr>
              <w:t>.3</w:t>
            </w:r>
          </w:p>
        </w:tc>
        <w:tc>
          <w:tcPr>
            <w:tcW w:w="1174" w:type="pct"/>
            <w:vAlign w:val="center"/>
          </w:tcPr>
          <w:p w14:paraId="19AB0267">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随中标结果公告同时公告的内容</w:t>
            </w:r>
          </w:p>
        </w:tc>
        <w:tc>
          <w:tcPr>
            <w:tcW w:w="3244" w:type="pct"/>
            <w:vAlign w:val="center"/>
          </w:tcPr>
          <w:p w14:paraId="5087DEFE">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（1）中标（成交）供应商的评审报价</w:t>
            </w:r>
            <w:r>
              <w:rPr>
                <w:rFonts w:hint="eastAsia" w:ascii="宋体" w:hAnsi="宋体" w:eastAsia="宋体"/>
                <w:bCs w:val="0"/>
                <w:color w:val="000000" w:themeColor="text1"/>
                <w:sz w:val="24"/>
                <w14:textFill>
                  <w14:solidFill>
                    <w14:schemeClr w14:val="tx1"/>
                  </w14:solidFill>
                </w14:textFill>
              </w:rPr>
              <w:t>（适用最低评标价法）</w:t>
            </w:r>
          </w:p>
          <w:p w14:paraId="07828B3F">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（2）中标（成交）供应商的评审总得分</w:t>
            </w:r>
            <w:r>
              <w:rPr>
                <w:rFonts w:hint="eastAsia" w:ascii="宋体" w:hAnsi="宋体" w:eastAsia="宋体"/>
                <w:bCs w:val="0"/>
                <w:color w:val="000000" w:themeColor="text1"/>
                <w:sz w:val="24"/>
                <w14:textFill>
                  <w14:solidFill>
                    <w14:schemeClr w14:val="tx1"/>
                  </w14:solidFill>
                </w14:textFill>
              </w:rPr>
              <w:t>（适用综合评分法）</w:t>
            </w:r>
          </w:p>
        </w:tc>
      </w:tr>
      <w:tr w14:paraId="21CF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67F39C0">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24</w:t>
            </w:r>
            <w:r>
              <w:rPr>
                <w:rFonts w:ascii="宋体" w:hAnsi="宋体" w:eastAsia="宋体"/>
                <w:bCs/>
                <w:color w:val="000000" w:themeColor="text1"/>
                <w:kern w:val="2"/>
                <w14:textFill>
                  <w14:solidFill>
                    <w14:schemeClr w14:val="tx1"/>
                  </w14:solidFill>
                </w14:textFill>
              </w:rPr>
              <w:t>.1</w:t>
            </w:r>
          </w:p>
        </w:tc>
        <w:tc>
          <w:tcPr>
            <w:tcW w:w="1174" w:type="pct"/>
            <w:vAlign w:val="center"/>
          </w:tcPr>
          <w:p w14:paraId="49D756F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中标通知书发出的形式</w:t>
            </w:r>
          </w:p>
        </w:tc>
        <w:tc>
          <w:tcPr>
            <w:tcW w:w="3244" w:type="pct"/>
            <w:vAlign w:val="center"/>
          </w:tcPr>
          <w:p w14:paraId="6530F263">
            <w:pPr>
              <w:pStyle w:val="44"/>
              <w:widowControl w:val="0"/>
              <w:spacing w:before="0" w:beforeAutospacing="0" w:after="0" w:afterAutospacing="0" w:line="400" w:lineRule="exact"/>
              <w:ind w:firstLine="45"/>
              <w:jc w:val="both"/>
              <w:rPr>
                <w:rFonts w:hint="eastAsia" w:ascii="宋体" w:hAnsi="宋体" w:eastAsia="宋体"/>
                <w:b w:val="0"/>
                <w:bCs w:val="0"/>
                <w:color w:val="000000" w:themeColor="text1"/>
                <w:sz w:val="24"/>
                <w:szCs w:val="24"/>
                <w14:textFill>
                  <w14:solidFill>
                    <w14:schemeClr w14:val="tx1"/>
                  </w14:solidFill>
                </w14:textFill>
              </w:rPr>
            </w:pPr>
            <w:r>
              <w:rPr>
                <w:rFonts w:ascii="Segoe UI Symbol" w:hAnsi="Segoe UI Symbol" w:eastAsia="宋体" w:cs="Segoe UI Symbol"/>
                <w:b w:val="0"/>
                <w:bCs w:val="0"/>
                <w:color w:val="000000" w:themeColor="text1"/>
                <w:sz w:val="24"/>
                <w:szCs w:val="24"/>
                <w14:textFill>
                  <w14:solidFill>
                    <w14:schemeClr w14:val="tx1"/>
                  </w14:solidFill>
                </w14:textFill>
              </w:rPr>
              <w:t>☑</w:t>
            </w:r>
            <w:r>
              <w:rPr>
                <w:rFonts w:hint="eastAsia" w:ascii="宋体" w:hAnsi="宋体" w:eastAsia="宋体"/>
                <w:b w:val="0"/>
                <w:bCs w:val="0"/>
                <w:color w:val="000000" w:themeColor="text1"/>
                <w:sz w:val="24"/>
                <w:szCs w:val="24"/>
                <w14:textFill>
                  <w14:solidFill>
                    <w14:schemeClr w14:val="tx1"/>
                  </w14:solidFill>
                </w14:textFill>
              </w:rPr>
              <w:t xml:space="preserve">书面 </w:t>
            </w:r>
            <w:r>
              <w:rPr>
                <w:rFonts w:ascii="宋体" w:hAnsi="宋体" w:eastAsia="宋体"/>
                <w:b w:val="0"/>
                <w:bCs w:val="0"/>
                <w:color w:val="000000" w:themeColor="text1"/>
                <w:sz w:val="24"/>
                <w:szCs w:val="24"/>
                <w14:textFill>
                  <w14:solidFill>
                    <w14:schemeClr w14:val="tx1"/>
                  </w14:solidFill>
                </w14:textFill>
              </w:rPr>
              <w:t xml:space="preserve">    </w:t>
            </w:r>
            <w:r>
              <w:rPr>
                <w:rFonts w:hint="eastAsia" w:ascii="宋体" w:hAnsi="宋体" w:eastAsia="宋体"/>
                <w:b w:val="0"/>
                <w:bCs w:val="0"/>
                <w:color w:val="000000" w:themeColor="text1"/>
                <w:sz w:val="24"/>
                <w:szCs w:val="24"/>
                <w14:textFill>
                  <w14:solidFill>
                    <w14:schemeClr w14:val="tx1"/>
                  </w14:solidFill>
                </w14:textFill>
              </w:rPr>
              <w:sym w:font="Wingdings" w:char="00A8"/>
            </w:r>
            <w:r>
              <w:rPr>
                <w:rFonts w:hint="eastAsia" w:ascii="宋体" w:hAnsi="宋体" w:eastAsia="宋体"/>
                <w:b w:val="0"/>
                <w:bCs w:val="0"/>
                <w:color w:val="000000" w:themeColor="text1"/>
                <w:sz w:val="24"/>
                <w:szCs w:val="24"/>
                <w14:textFill>
                  <w14:solidFill>
                    <w14:schemeClr w14:val="tx1"/>
                  </w14:solidFill>
                </w14:textFill>
              </w:rPr>
              <w:t>数据电文</w:t>
            </w:r>
          </w:p>
        </w:tc>
      </w:tr>
      <w:tr w14:paraId="7F9F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776E10A">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25</w:t>
            </w:r>
            <w:r>
              <w:rPr>
                <w:rFonts w:ascii="宋体" w:hAnsi="宋体" w:eastAsia="宋体"/>
                <w:bCs/>
                <w:color w:val="000000" w:themeColor="text1"/>
                <w:kern w:val="2"/>
                <w14:textFill>
                  <w14:solidFill>
                    <w14:schemeClr w14:val="tx1"/>
                  </w14:solidFill>
                </w14:textFill>
              </w:rPr>
              <w:t>.1</w:t>
            </w:r>
          </w:p>
        </w:tc>
        <w:tc>
          <w:tcPr>
            <w:tcW w:w="1174" w:type="pct"/>
            <w:vAlign w:val="center"/>
          </w:tcPr>
          <w:p w14:paraId="66A40AC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告知招标结果的形式</w:t>
            </w:r>
          </w:p>
        </w:tc>
        <w:tc>
          <w:tcPr>
            <w:tcW w:w="3244" w:type="pct"/>
            <w:vAlign w:val="center"/>
          </w:tcPr>
          <w:p w14:paraId="3E3E85CE">
            <w:pPr>
              <w:pStyle w:val="21"/>
              <w:spacing w:before="0" w:beforeAutospacing="0" w:after="0" w:afterAutospacing="0" w:line="400" w:lineRule="exact"/>
              <w:ind w:firstLine="45"/>
              <w:jc w:val="both"/>
              <w:rPr>
                <w:rFonts w:hint="eastAsia" w:asciiTheme="minorEastAsia" w:hAnsiTheme="minorEastAsia" w:eastAsiaTheme="minorEastAsia"/>
                <w:color w:val="000000" w:themeColor="text1"/>
                <w:kern w:val="2"/>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投标人自行在滁州市第一人民医院官网查看</w:t>
            </w:r>
          </w:p>
        </w:tc>
      </w:tr>
      <w:tr w14:paraId="2669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382A5455">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26</w:t>
            </w:r>
            <w:r>
              <w:rPr>
                <w:rFonts w:ascii="宋体" w:hAnsi="宋体" w:eastAsia="宋体"/>
                <w:bCs/>
                <w:color w:val="000000" w:themeColor="text1"/>
                <w:kern w:val="2"/>
                <w14:textFill>
                  <w14:solidFill>
                    <w14:schemeClr w14:val="tx1"/>
                  </w14:solidFill>
                </w14:textFill>
              </w:rPr>
              <w:t>.1</w:t>
            </w:r>
          </w:p>
        </w:tc>
        <w:tc>
          <w:tcPr>
            <w:tcW w:w="1174" w:type="pct"/>
            <w:vAlign w:val="center"/>
          </w:tcPr>
          <w:p w14:paraId="4AF218E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履约保证金</w:t>
            </w:r>
          </w:p>
        </w:tc>
        <w:tc>
          <w:tcPr>
            <w:tcW w:w="3244" w:type="pct"/>
          </w:tcPr>
          <w:p w14:paraId="44B2D99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（1）金额：</w:t>
            </w:r>
          </w:p>
          <w:p w14:paraId="1C5371F8">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Segoe UI Symbol" w:hAnsi="Segoe UI Symbol" w:eastAsia="宋体" w:cs="Segoe UI Symbol"/>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免收</w:t>
            </w:r>
          </w:p>
          <w:p w14:paraId="4847FC54">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合同价的</w:t>
            </w:r>
            <w:r>
              <w:rPr>
                <w:rFonts w:ascii="宋体" w:hAnsi="宋体" w:eastAsia="宋体"/>
                <w:bCs/>
                <w:color w:val="000000" w:themeColor="text1"/>
                <w:kern w:val="0"/>
                <w:sz w:val="24"/>
                <w:szCs w:val="28"/>
                <w:u w:val="single"/>
                <w14:textFill>
                  <w14:solidFill>
                    <w14:schemeClr w14:val="tx1"/>
                  </w14:solidFill>
                </w14:textFill>
              </w:rPr>
              <w:t xml:space="preserve"> </w:t>
            </w:r>
            <w:r>
              <w:rPr>
                <w:rFonts w:hint="eastAsia" w:ascii="宋体" w:hAnsi="宋体" w:eastAsia="宋体"/>
                <w:bCs/>
                <w:color w:val="000000" w:themeColor="text1"/>
                <w:kern w:val="0"/>
                <w:sz w:val="24"/>
                <w:szCs w:val="28"/>
                <w:u w:val="single"/>
                <w14:textFill>
                  <w14:solidFill>
                    <w14:schemeClr w14:val="tx1"/>
                  </w14:solidFill>
                </w14:textFill>
              </w:rPr>
              <w:t>/</w:t>
            </w:r>
            <w:r>
              <w:rPr>
                <w:rFonts w:ascii="宋体" w:hAnsi="宋体" w:eastAsia="宋体"/>
                <w:bCs/>
                <w:color w:val="000000" w:themeColor="text1"/>
                <w:kern w:val="0"/>
                <w:sz w:val="24"/>
                <w:szCs w:val="28"/>
                <w:u w:val="single"/>
                <w14:textFill>
                  <w14:solidFill>
                    <w14:schemeClr w14:val="tx1"/>
                  </w14:solidFill>
                </w14:textFill>
              </w:rPr>
              <w:t xml:space="preserve"> </w:t>
            </w:r>
            <w:r>
              <w:rPr>
                <w:rFonts w:ascii="宋体" w:hAnsi="宋体" w:eastAsia="宋体"/>
                <w:bCs/>
                <w:color w:val="000000" w:themeColor="text1"/>
                <w:kern w:val="0"/>
                <w:sz w:val="24"/>
                <w:szCs w:val="28"/>
                <w14:textFill>
                  <w14:solidFill>
                    <w14:schemeClr w14:val="tx1"/>
                  </w14:solidFill>
                </w14:textFill>
              </w:rPr>
              <w:t>%</w:t>
            </w:r>
          </w:p>
          <w:p w14:paraId="0CA7F610">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ascii="宋体" w:hAnsi="宋体" w:eastAsia="宋体"/>
                <w:bCs/>
                <w:color w:val="000000" w:themeColor="text1"/>
                <w:kern w:val="0"/>
                <w:sz w:val="24"/>
                <w:szCs w:val="28"/>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t>定额收取：人民币</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元</w:t>
            </w:r>
          </w:p>
          <w:p w14:paraId="22978B9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（2）支付方式：</w:t>
            </w:r>
          </w:p>
          <w:p w14:paraId="2AD32082">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转账/电汇</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 xml:space="preserve">支票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汇票</w:t>
            </w:r>
            <w:r>
              <w:rPr>
                <w:rFonts w:hint="eastAsia" w:ascii="宋体" w:hAnsi="宋体" w:eastAsia="宋体"/>
                <w:bCs/>
                <w:color w:val="000000" w:themeColor="text1"/>
                <w:kern w:val="0"/>
                <w:sz w:val="24"/>
                <w:szCs w:val="28"/>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 xml:space="preserve">本票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bCs/>
                <w:color w:val="000000" w:themeColor="text1"/>
                <w:kern w:val="0"/>
                <w:sz w:val="24"/>
                <w:szCs w:val="28"/>
                <w14:textFill>
                  <w14:solidFill>
                    <w14:schemeClr w14:val="tx1"/>
                  </w14:solidFill>
                </w14:textFill>
              </w:rPr>
              <w:t>保</w:t>
            </w:r>
            <w:r>
              <w:rPr>
                <w:rFonts w:hint="eastAsia" w:ascii="宋体" w:hAnsi="宋体" w:eastAsia="宋体"/>
                <w:bCs/>
                <w:color w:val="000000" w:themeColor="text1"/>
                <w:kern w:val="0"/>
                <w:sz w:val="24"/>
                <w:szCs w:val="28"/>
                <w14:textFill>
                  <w14:solidFill>
                    <w14:schemeClr w14:val="tx1"/>
                  </w14:solidFill>
                </w14:textFill>
              </w:rPr>
              <w:t xml:space="preserve">险 </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hint="eastAsia" w:ascii="宋体" w:hAnsi="宋体" w:eastAsia="宋体"/>
                <w:bCs/>
                <w:color w:val="000000" w:themeColor="text1"/>
                <w:kern w:val="0"/>
                <w:sz w:val="24"/>
                <w:szCs w:val="28"/>
                <w14:textFill>
                  <w14:solidFill>
                    <w14:schemeClr w14:val="tx1"/>
                  </w14:solidFill>
                </w14:textFill>
              </w:rPr>
              <w:t>保</w:t>
            </w:r>
            <w:r>
              <w:rPr>
                <w:rFonts w:ascii="宋体" w:hAnsi="宋体" w:eastAsia="宋体"/>
                <w:bCs/>
                <w:color w:val="000000" w:themeColor="text1"/>
                <w:kern w:val="0"/>
                <w:sz w:val="24"/>
                <w:szCs w:val="28"/>
                <w14:textFill>
                  <w14:solidFill>
                    <w14:schemeClr w14:val="tx1"/>
                  </w14:solidFill>
                </w14:textFill>
              </w:rPr>
              <w:t>函</w:t>
            </w:r>
          </w:p>
          <w:p w14:paraId="0092F059">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（3）收取单位：</w:t>
            </w:r>
            <w:r>
              <w:rPr>
                <w:rFonts w:hint="eastAsia" w:ascii="宋体" w:hAnsi="宋体" w:eastAsia="宋体"/>
                <w:bCs/>
                <w:color w:val="000000" w:themeColor="text1"/>
                <w:kern w:val="0"/>
                <w:sz w:val="24"/>
                <w:szCs w:val="28"/>
                <w:u w:val="single"/>
                <w14:textFill>
                  <w14:solidFill>
                    <w14:schemeClr w14:val="tx1"/>
                  </w14:solidFill>
                </w14:textFill>
              </w:rPr>
              <w:t xml:space="preserve">    /    </w:t>
            </w:r>
            <w:r>
              <w:rPr>
                <w:rFonts w:hint="eastAsia" w:ascii="宋体" w:hAnsi="宋体" w:eastAsia="宋体"/>
                <w:bCs/>
                <w:color w:val="000000" w:themeColor="text1"/>
                <w:kern w:val="0"/>
                <w:sz w:val="24"/>
                <w:szCs w:val="28"/>
                <w14:textFill>
                  <w14:solidFill>
                    <w14:schemeClr w14:val="tx1"/>
                  </w14:solidFill>
                </w14:textFill>
              </w:rPr>
              <w:t xml:space="preserve">              </w:t>
            </w:r>
          </w:p>
          <w:p w14:paraId="201B46FF">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（4）收取账号：</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517F751C">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（5）</w:t>
            </w:r>
            <w:r>
              <w:rPr>
                <w:rFonts w:hint="eastAsia" w:ascii="宋体" w:hAnsi="宋体" w:eastAsia="宋体"/>
                <w:color w:val="000000" w:themeColor="text1"/>
                <w:sz w:val="24"/>
                <w14:textFill>
                  <w14:solidFill>
                    <w14:schemeClr w14:val="tx1"/>
                  </w14:solidFill>
                </w14:textFill>
              </w:rPr>
              <w:t>退还时间：</w:t>
            </w:r>
            <w:r>
              <w:rPr>
                <w:rFonts w:hint="eastAsia" w:ascii="宋体" w:hAnsi="宋体" w:eastAsia="宋体"/>
                <w:bCs/>
                <w:color w:val="000000" w:themeColor="text1"/>
                <w:kern w:val="0"/>
                <w:sz w:val="24"/>
                <w:szCs w:val="28"/>
                <w:u w:val="single"/>
                <w14:textFill>
                  <w14:solidFill>
                    <w14:schemeClr w14:val="tx1"/>
                  </w14:solidFill>
                </w14:textFill>
              </w:rPr>
              <w:t xml:space="preserve">   /      </w:t>
            </w:r>
          </w:p>
          <w:p w14:paraId="21BC9BA9">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注意事项：</w:t>
            </w:r>
          </w:p>
          <w:p w14:paraId="5BAC7484">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（1）以上各类机构出具的以担保函、保证保险承担责任的方式均须满足无条件见索即付条件。</w:t>
            </w:r>
          </w:p>
          <w:p w14:paraId="01FEC8CB">
            <w:pPr>
              <w:spacing w:line="400" w:lineRule="exact"/>
              <w:ind w:firstLine="45"/>
              <w:rPr>
                <w:rFonts w:hint="eastAsia" w:ascii="宋体" w:hAnsi="宋体" w:eastAsia="宋体"/>
                <w:b/>
                <w:bCs/>
                <w:color w:val="000000" w:themeColor="text1"/>
                <w:kern w:val="0"/>
                <w:sz w:val="24"/>
                <w:szCs w:val="24"/>
                <w14:textFill>
                  <w14:solidFill>
                    <w14:schemeClr w14:val="tx1"/>
                  </w14:solidFill>
                </w14:textFill>
              </w:rPr>
            </w:pPr>
            <w:r>
              <w:rPr>
                <w:rFonts w:hint="eastAsia" w:ascii="宋体" w:hAnsi="宋体" w:eastAsia="宋体"/>
                <w:b/>
                <w:bCs/>
                <w:color w:val="000000" w:themeColor="text1"/>
                <w:kern w:val="0"/>
                <w:sz w:val="24"/>
                <w:szCs w:val="24"/>
                <w14:textFill>
                  <w14:solidFill>
                    <w14:schemeClr w14:val="tx1"/>
                  </w14:solidFill>
                </w14:textFill>
              </w:rPr>
              <w:t>（2）以担保函、保证保险形式缴纳履约保证金的，受益人和收取单位须为采购人。</w:t>
            </w:r>
          </w:p>
        </w:tc>
      </w:tr>
      <w:tr w14:paraId="14A8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435A43E4">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27</w:t>
            </w:r>
            <w:r>
              <w:rPr>
                <w:rFonts w:ascii="宋体" w:hAnsi="宋体" w:eastAsia="宋体"/>
                <w:bCs/>
                <w:color w:val="000000" w:themeColor="text1"/>
                <w:kern w:val="2"/>
                <w14:textFill>
                  <w14:solidFill>
                    <w14:schemeClr w14:val="tx1"/>
                  </w14:solidFill>
                </w14:textFill>
              </w:rPr>
              <w:t>.1</w:t>
            </w:r>
          </w:p>
        </w:tc>
        <w:tc>
          <w:tcPr>
            <w:tcW w:w="1174" w:type="pct"/>
            <w:vAlign w:val="center"/>
          </w:tcPr>
          <w:p w14:paraId="78EB4FAD">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签订合同和合同公告时间</w:t>
            </w:r>
          </w:p>
        </w:tc>
        <w:tc>
          <w:tcPr>
            <w:tcW w:w="3244" w:type="pct"/>
          </w:tcPr>
          <w:p w14:paraId="765C957B">
            <w:pPr>
              <w:pStyle w:val="21"/>
              <w:widowControl/>
              <w:spacing w:before="0" w:beforeAutospacing="0" w:after="0" w:afterAutospacing="0" w:line="400" w:lineRule="exact"/>
              <w:ind w:firstLine="45"/>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（1）采购人与中标人应当自发出中标通知书之日起7个工作日内签订合同。</w:t>
            </w:r>
          </w:p>
          <w:p w14:paraId="58DF96C7">
            <w:pPr>
              <w:pStyle w:val="21"/>
              <w:widowControl/>
              <w:spacing w:before="0" w:beforeAutospacing="0" w:after="0" w:afterAutospacing="0" w:line="400" w:lineRule="exact"/>
              <w:ind w:firstLine="45"/>
              <w:rPr>
                <w:rFonts w:hint="eastAsia" w:ascii="宋体" w:hAnsi="宋体" w:eastAsia="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（2）采购人与中标人</w:t>
            </w:r>
            <w:r>
              <w:rPr>
                <w:rFonts w:ascii="宋体" w:hAnsi="宋体" w:eastAsia="宋体" w:cs="宋体"/>
                <w:color w:val="000000" w:themeColor="text1"/>
                <w:szCs w:val="24"/>
                <w14:textFill>
                  <w14:solidFill>
                    <w14:schemeClr w14:val="tx1"/>
                  </w14:solidFill>
                </w14:textFill>
              </w:rPr>
              <w:t>不得擅自变更合同。</w:t>
            </w:r>
          </w:p>
        </w:tc>
      </w:tr>
      <w:tr w14:paraId="62E4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bottom w:val="single" w:color="auto" w:sz="4" w:space="0"/>
            </w:tcBorders>
            <w:vAlign w:val="center"/>
          </w:tcPr>
          <w:p w14:paraId="15450AEB">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28</w:t>
            </w:r>
            <w:r>
              <w:rPr>
                <w:rFonts w:ascii="宋体" w:hAnsi="宋体" w:eastAsia="宋体"/>
                <w:bCs/>
                <w:color w:val="000000" w:themeColor="text1"/>
                <w:kern w:val="2"/>
                <w14:textFill>
                  <w14:solidFill>
                    <w14:schemeClr w14:val="tx1"/>
                  </w14:solidFill>
                </w14:textFill>
              </w:rPr>
              <w:t>.1</w:t>
            </w:r>
          </w:p>
        </w:tc>
        <w:tc>
          <w:tcPr>
            <w:tcW w:w="1174" w:type="pct"/>
            <w:tcBorders>
              <w:bottom w:val="single" w:color="auto" w:sz="4" w:space="0"/>
            </w:tcBorders>
            <w:vAlign w:val="center"/>
          </w:tcPr>
          <w:p w14:paraId="14C09F95">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代理费用</w:t>
            </w:r>
          </w:p>
        </w:tc>
        <w:tc>
          <w:tcPr>
            <w:tcW w:w="3244" w:type="pct"/>
            <w:tcBorders>
              <w:bottom w:val="single" w:color="auto" w:sz="4" w:space="0"/>
            </w:tcBorders>
            <w:vAlign w:val="center"/>
          </w:tcPr>
          <w:p w14:paraId="3CB6D22C">
            <w:pPr>
              <w:spacing w:line="400" w:lineRule="exact"/>
              <w:ind w:firstLine="4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（1）</w:t>
            </w:r>
            <w:r>
              <w:rPr>
                <w:rFonts w:ascii="宋体" w:hAnsi="宋体" w:eastAsia="宋体"/>
                <w:bCs/>
                <w:color w:val="000000" w:themeColor="text1"/>
                <w:kern w:val="0"/>
                <w:sz w:val="24"/>
                <w:szCs w:val="28"/>
                <w14:textFill>
                  <w14:solidFill>
                    <w14:schemeClr w14:val="tx1"/>
                  </w14:solidFill>
                </w14:textFill>
              </w:rPr>
              <w:t>收费对象</w:t>
            </w:r>
            <w:r>
              <w:rPr>
                <w:rFonts w:ascii="宋体" w:hAnsi="宋体" w:eastAsia="宋体" w:cs="宋体"/>
                <w:color w:val="000000" w:themeColor="text1"/>
                <w:spacing w:val="-12"/>
                <w:sz w:val="24"/>
                <w:szCs w:val="24"/>
                <w14:textFill>
                  <w14:solidFill>
                    <w14:schemeClr w14:val="tx1"/>
                  </w14:solidFill>
                </w14:textFill>
              </w:rPr>
              <w:t>：</w:t>
            </w:r>
            <w:r>
              <w:rPr>
                <w:rFonts w:hint="eastAsia" w:ascii="宋体" w:hAnsi="宋体" w:eastAsia="宋体"/>
                <w:bCs/>
                <w:color w:val="000000" w:themeColor="text1"/>
                <w:kern w:val="0"/>
                <w:sz w:val="24"/>
                <w:szCs w:val="28"/>
                <w14:textFill>
                  <w14:solidFill>
                    <w14:schemeClr w14:val="tx1"/>
                  </w14:solidFill>
                </w14:textFill>
              </w:rPr>
              <w:sym w:font="Wingdings" w:char="00A8"/>
            </w:r>
            <w:r>
              <w:rPr>
                <w:rFonts w:ascii="宋体" w:hAnsi="宋体" w:eastAsia="宋体" w:cs="宋体"/>
                <w:color w:val="000000" w:themeColor="text1"/>
                <w:spacing w:val="14"/>
                <w:sz w:val="24"/>
                <w:szCs w:val="24"/>
                <w14:textFill>
                  <w14:solidFill>
                    <w14:schemeClr w14:val="tx1"/>
                  </w14:solidFill>
                </w14:textFill>
              </w:rPr>
              <w:t>采购人</w:t>
            </w:r>
            <w:r>
              <w:rPr>
                <w:rFonts w:hint="eastAsia" w:ascii="宋体" w:hAnsi="宋体" w:eastAsia="宋体" w:cs="宋体"/>
                <w:color w:val="000000" w:themeColor="text1"/>
                <w:spacing w:val="14"/>
                <w:sz w:val="24"/>
                <w:szCs w:val="24"/>
                <w14:textFill>
                  <w14:solidFill>
                    <w14:schemeClr w14:val="tx1"/>
                  </w14:solidFill>
                </w14:textFill>
              </w:rPr>
              <w:t xml:space="preserve">   </w:t>
            </w:r>
            <w:r>
              <w:rPr>
                <w:rFonts w:hint="eastAsia" w:ascii="宋体" w:hAnsi="宋体" w:eastAsia="宋体"/>
                <w:bCs/>
                <w:color w:val="000000" w:themeColor="text1"/>
                <w:kern w:val="0"/>
                <w:sz w:val="24"/>
                <w:szCs w:val="28"/>
                <w14:textFill>
                  <w14:solidFill>
                    <w14:schemeClr w14:val="tx1"/>
                  </w14:solidFill>
                </w14:textFill>
              </w:rPr>
              <w:sym w:font="Wingdings" w:char="00FE"/>
            </w:r>
            <w:r>
              <w:rPr>
                <w:rFonts w:ascii="宋体" w:hAnsi="宋体" w:eastAsia="宋体" w:cs="宋体"/>
                <w:color w:val="000000" w:themeColor="text1"/>
                <w:spacing w:val="14"/>
                <w:sz w:val="24"/>
                <w:szCs w:val="24"/>
                <w14:textFill>
                  <w14:solidFill>
                    <w14:schemeClr w14:val="tx1"/>
                  </w14:solidFill>
                </w14:textFill>
              </w:rPr>
              <w:t>中标人</w:t>
            </w:r>
          </w:p>
          <w:p w14:paraId="4CA9C0EB">
            <w:pPr>
              <w:spacing w:line="400" w:lineRule="exact"/>
              <w:ind w:firstLine="45"/>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（2）</w:t>
            </w:r>
            <w:r>
              <w:rPr>
                <w:rFonts w:ascii="宋体" w:hAnsi="宋体" w:eastAsia="宋体"/>
                <w:bCs/>
                <w:color w:val="000000" w:themeColor="text1"/>
                <w:kern w:val="0"/>
                <w:sz w:val="24"/>
                <w:szCs w:val="28"/>
                <w14:textFill>
                  <w14:solidFill>
                    <w14:schemeClr w14:val="tx1"/>
                  </w14:solidFill>
                </w14:textFill>
              </w:rPr>
              <w:t>收取方式</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现金或银行转账</w:t>
            </w:r>
          </w:p>
          <w:p w14:paraId="275AD688">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bCs w:val="0"/>
                <w:color w:val="000000" w:themeColor="text1"/>
                <w:sz w:val="24"/>
                <w14:textFill>
                  <w14:solidFill>
                    <w14:schemeClr w14:val="tx1"/>
                  </w14:solidFill>
                </w14:textFill>
              </w:rPr>
              <w:t>（3）</w:t>
            </w:r>
            <w:r>
              <w:rPr>
                <w:rFonts w:ascii="宋体" w:hAnsi="宋体" w:eastAsia="宋体"/>
                <w:b w:val="0"/>
                <w:color w:val="000000" w:themeColor="text1"/>
                <w:sz w:val="24"/>
                <w14:textFill>
                  <w14:solidFill>
                    <w14:schemeClr w14:val="tx1"/>
                  </w14:solidFill>
                </w14:textFill>
              </w:rPr>
              <w:t>收费标准：</w:t>
            </w:r>
            <w:r>
              <w:rPr>
                <w:rFonts w:hint="eastAsia" w:ascii="宋体" w:hAnsi="宋体" w:eastAsia="宋体"/>
                <w:b w:val="0"/>
                <w:color w:val="000000" w:themeColor="text1"/>
                <w:sz w:val="24"/>
                <w:u w:val="single"/>
                <w14:textFill>
                  <w14:solidFill>
                    <w14:schemeClr w14:val="tx1"/>
                  </w14:solidFill>
                </w14:textFill>
              </w:rPr>
              <w:t xml:space="preserve"> </w:t>
            </w:r>
            <w:r>
              <w:rPr>
                <w:rFonts w:hint="eastAsia" w:ascii="宋体" w:hAnsi="宋体" w:eastAsia="宋体"/>
                <w:b w:val="0"/>
                <w:color w:val="000000" w:themeColor="text1"/>
                <w:sz w:val="24"/>
                <w:u w:val="single"/>
                <w:lang w:val="en-US" w:eastAsia="zh-CN"/>
                <w14:textFill>
                  <w14:solidFill>
                    <w14:schemeClr w14:val="tx1"/>
                  </w14:solidFill>
                </w14:textFill>
              </w:rPr>
              <w:t>1875</w:t>
            </w:r>
            <w:r>
              <w:rPr>
                <w:rFonts w:hint="eastAsia" w:ascii="宋体" w:hAnsi="宋体" w:eastAsia="宋体"/>
                <w:b w:val="0"/>
                <w:color w:val="000000" w:themeColor="text1"/>
                <w:sz w:val="24"/>
                <w:u w:val="single"/>
                <w14:textFill>
                  <w14:solidFill>
                    <w14:schemeClr w14:val="tx1"/>
                  </w14:solidFill>
                </w14:textFill>
              </w:rPr>
              <w:t>元</w:t>
            </w:r>
            <w:r>
              <w:rPr>
                <w:rFonts w:hint="eastAsia" w:ascii="宋体" w:hAnsi="宋体" w:eastAsia="宋体" w:cs="宋体"/>
                <w:color w:val="000000" w:themeColor="text1"/>
                <w:sz w:val="24"/>
                <w:szCs w:val="24"/>
                <w:u w:val="single"/>
                <w14:textFill>
                  <w14:solidFill>
                    <w14:schemeClr w14:val="tx1"/>
                  </w14:solidFill>
                </w14:textFill>
              </w:rPr>
              <w:t>（评审费另计，以实际发生为准）</w:t>
            </w:r>
          </w:p>
        </w:tc>
      </w:tr>
      <w:tr w14:paraId="4B19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left w:val="single" w:color="auto" w:sz="4" w:space="0"/>
              <w:bottom w:val="single" w:color="auto" w:sz="4" w:space="0"/>
            </w:tcBorders>
            <w:vAlign w:val="center"/>
          </w:tcPr>
          <w:p w14:paraId="03690C83">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31</w:t>
            </w:r>
            <w:r>
              <w:rPr>
                <w:rFonts w:ascii="宋体" w:hAnsi="宋体" w:eastAsia="宋体"/>
                <w:bCs/>
                <w:color w:val="000000" w:themeColor="text1"/>
                <w:kern w:val="2"/>
                <w14:textFill>
                  <w14:solidFill>
                    <w14:schemeClr w14:val="tx1"/>
                  </w14:solidFill>
                </w14:textFill>
              </w:rPr>
              <w:t>.</w:t>
            </w:r>
            <w:r>
              <w:rPr>
                <w:rFonts w:hint="eastAsia" w:ascii="宋体" w:hAnsi="宋体" w:eastAsia="宋体"/>
                <w:bCs/>
                <w:color w:val="000000" w:themeColor="text1"/>
                <w:kern w:val="2"/>
                <w14:textFill>
                  <w14:solidFill>
                    <w14:schemeClr w14:val="tx1"/>
                  </w14:solidFill>
                </w14:textFill>
              </w:rPr>
              <w:t>3</w:t>
            </w:r>
          </w:p>
        </w:tc>
        <w:tc>
          <w:tcPr>
            <w:tcW w:w="1174" w:type="pct"/>
            <w:tcBorders>
              <w:top w:val="single" w:color="auto" w:sz="4" w:space="0"/>
              <w:bottom w:val="single" w:color="auto" w:sz="4" w:space="0"/>
            </w:tcBorders>
            <w:vAlign w:val="center"/>
          </w:tcPr>
          <w:p w14:paraId="7011C00C">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质疑函递交方式、接收部门、联系电话和通讯地址</w:t>
            </w:r>
          </w:p>
        </w:tc>
        <w:tc>
          <w:tcPr>
            <w:tcW w:w="3244" w:type="pct"/>
            <w:tcBorders>
              <w:top w:val="single" w:color="auto" w:sz="4" w:space="0"/>
              <w:bottom w:val="single" w:color="auto" w:sz="4" w:space="0"/>
              <w:right w:val="single" w:color="auto" w:sz="4" w:space="0"/>
            </w:tcBorders>
            <w:vAlign w:val="center"/>
          </w:tcPr>
          <w:p w14:paraId="740190FB">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递交方式：</w:t>
            </w:r>
            <w:r>
              <w:rPr>
                <w:rFonts w:hint="eastAsia" w:ascii="宋体" w:hAnsi="宋体" w:eastAsia="宋体"/>
                <w:b w:val="0"/>
                <w:color w:val="000000" w:themeColor="text1"/>
                <w:sz w:val="24"/>
                <w:u w:val="single"/>
                <w14:textFill>
                  <w14:solidFill>
                    <w14:schemeClr w14:val="tx1"/>
                  </w14:solidFill>
                </w14:textFill>
              </w:rPr>
              <w:t xml:space="preserve">书面形式或通过电子邮件递交。如投标人对招标文件有质疑，可以依据中华人民共和国财政部令第 94 号《政府采购质疑和投诉办法》规定，以书面形式向采购人、采购代理机构提出质疑，也可以通过电子邮件（82358483@qq.com）递交质疑。 </w:t>
            </w:r>
          </w:p>
          <w:p w14:paraId="7B23DA80">
            <w:pPr>
              <w:spacing w:line="400" w:lineRule="exact"/>
              <w:ind w:firstLine="45"/>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接收部门：</w:t>
            </w:r>
            <w:r>
              <w:rPr>
                <w:rFonts w:hint="eastAsia" w:ascii="宋体" w:hAnsi="宋体" w:eastAsia="宋体"/>
                <w:bCs/>
                <w:color w:val="000000" w:themeColor="text1"/>
                <w:kern w:val="0"/>
                <w:sz w:val="24"/>
                <w:szCs w:val="28"/>
                <w:u w:val="single"/>
                <w14:textFill>
                  <w14:solidFill>
                    <w14:schemeClr w14:val="tx1"/>
                  </w14:solidFill>
                </w14:textFill>
              </w:rPr>
              <w:t>滁州市第一人民医院、安徽百士德工程咨询有限公司</w:t>
            </w:r>
          </w:p>
          <w:p w14:paraId="2982614E">
            <w:pPr>
              <w:spacing w:line="400" w:lineRule="exact"/>
              <w:ind w:firstLine="45"/>
              <w:rPr>
                <w:rFonts w:hint="eastAsia" w:ascii="宋体" w:hAnsi="宋体" w:eastAsia="宋体"/>
                <w:color w:val="000000" w:themeColor="text1"/>
                <w:sz w:val="24"/>
                <w:szCs w:val="18"/>
                <w14:textFill>
                  <w14:solidFill>
                    <w14:schemeClr w14:val="tx1"/>
                  </w14:solidFill>
                </w14:textFill>
              </w:rPr>
            </w:pPr>
            <w:r>
              <w:rPr>
                <w:rFonts w:ascii="宋体" w:hAnsi="宋体" w:eastAsia="宋体"/>
                <w:color w:val="000000" w:themeColor="text1"/>
                <w:sz w:val="24"/>
                <w14:textFill>
                  <w14:solidFill>
                    <w14:schemeClr w14:val="tx1"/>
                  </w14:solidFill>
                </w14:textFill>
              </w:rPr>
              <w:t>联系电话：</w:t>
            </w:r>
            <w:r>
              <w:rPr>
                <w:rFonts w:hint="eastAsia" w:ascii="宋体" w:hAnsi="宋体" w:eastAsia="宋体"/>
                <w:color w:val="000000" w:themeColor="text1"/>
                <w:sz w:val="24"/>
                <w:szCs w:val="24"/>
                <w:u w:val="single"/>
                <w:lang w:bidi="ar"/>
                <w14:textFill>
                  <w14:solidFill>
                    <w14:schemeClr w14:val="tx1"/>
                  </w14:solidFill>
                </w14:textFill>
              </w:rPr>
              <w:t>0550-3526032</w:t>
            </w:r>
            <w:r>
              <w:rPr>
                <w:rFonts w:hint="eastAsia" w:ascii="宋体" w:hAnsi="宋体" w:eastAsia="宋体"/>
                <w:bCs/>
                <w:color w:val="000000" w:themeColor="text1"/>
                <w:kern w:val="0"/>
                <w:sz w:val="24"/>
                <w:szCs w:val="28"/>
                <w:u w:val="single"/>
                <w14:textFill>
                  <w14:solidFill>
                    <w14:schemeClr w14:val="tx1"/>
                  </w14:solidFill>
                </w14:textFill>
              </w:rPr>
              <w:t>、</w:t>
            </w:r>
            <w:r>
              <w:rPr>
                <w:rFonts w:hint="eastAsia" w:ascii="宋体" w:hAnsi="宋体" w:eastAsia="宋体"/>
                <w:color w:val="000000" w:themeColor="text1"/>
                <w:sz w:val="24"/>
                <w:szCs w:val="24"/>
                <w:u w:val="single"/>
                <w:lang w:bidi="ar"/>
                <w14:textFill>
                  <w14:solidFill>
                    <w14:schemeClr w14:val="tx1"/>
                  </w14:solidFill>
                </w14:textFill>
              </w:rPr>
              <w:t>0550-3011399</w:t>
            </w:r>
          </w:p>
          <w:p w14:paraId="09DBAA1B">
            <w:pPr>
              <w:spacing w:line="400" w:lineRule="exact"/>
              <w:ind w:firstLine="4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通讯地址：</w:t>
            </w:r>
            <w:r>
              <w:rPr>
                <w:rFonts w:hint="eastAsia" w:ascii="宋体" w:hAnsi="宋体" w:eastAsia="宋体"/>
                <w:color w:val="000000" w:themeColor="text1"/>
                <w:sz w:val="24"/>
                <w:szCs w:val="24"/>
                <w:u w:val="single"/>
                <w:lang w:bidi="ar"/>
                <w14:textFill>
                  <w14:solidFill>
                    <w14:schemeClr w14:val="tx1"/>
                  </w14:solidFill>
                </w14:textFill>
              </w:rPr>
              <w:t>滁州市醉翁西路369号</w:t>
            </w:r>
            <w:r>
              <w:rPr>
                <w:rFonts w:hint="eastAsia" w:ascii="宋体" w:hAnsi="宋体" w:eastAsia="宋体"/>
                <w:bCs/>
                <w:color w:val="000000" w:themeColor="text1"/>
                <w:kern w:val="0"/>
                <w:sz w:val="24"/>
                <w:szCs w:val="28"/>
                <w:u w:val="single"/>
                <w14:textFill>
                  <w14:solidFill>
                    <w14:schemeClr w14:val="tx1"/>
                  </w14:solidFill>
                </w14:textFill>
              </w:rPr>
              <w:t xml:space="preserve">、滁州市会峰西路72-11号 </w:t>
            </w:r>
          </w:p>
        </w:tc>
      </w:tr>
      <w:tr w14:paraId="00B9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tcBorders>
              <w:top w:val="single" w:color="auto" w:sz="4" w:space="0"/>
            </w:tcBorders>
            <w:vAlign w:val="center"/>
          </w:tcPr>
          <w:p w14:paraId="2E4AAAA1">
            <w:pPr>
              <w:pStyle w:val="45"/>
              <w:pBdr>
                <w:bottom w:val="none" w:color="auto" w:sz="0" w:space="0"/>
              </w:pBdr>
              <w:tabs>
                <w:tab w:val="clear" w:pos="4153"/>
                <w:tab w:val="clear" w:pos="8306"/>
              </w:tabs>
              <w:adjustRightInd/>
              <w:spacing w:line="400" w:lineRule="exact"/>
              <w:ind w:firstLine="45"/>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32</w:t>
            </w:r>
          </w:p>
        </w:tc>
        <w:tc>
          <w:tcPr>
            <w:tcW w:w="1174" w:type="pct"/>
            <w:tcBorders>
              <w:top w:val="single" w:color="auto" w:sz="4" w:space="0"/>
            </w:tcBorders>
            <w:vAlign w:val="center"/>
          </w:tcPr>
          <w:p w14:paraId="0180B8CF">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其他内容</w:t>
            </w:r>
          </w:p>
        </w:tc>
        <w:tc>
          <w:tcPr>
            <w:tcW w:w="3244" w:type="pct"/>
            <w:tcBorders>
              <w:top w:val="single" w:color="auto" w:sz="4" w:space="0"/>
            </w:tcBorders>
            <w:vAlign w:val="center"/>
          </w:tcPr>
          <w:p w14:paraId="423E9A44">
            <w:pPr>
              <w:pStyle w:val="44"/>
              <w:widowControl w:val="0"/>
              <w:spacing w:before="0" w:beforeAutospacing="0" w:after="0" w:afterAutospacing="0" w:line="400" w:lineRule="exact"/>
              <w:ind w:firstLine="45"/>
              <w:jc w:val="both"/>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1.解释权：</w:t>
            </w:r>
          </w:p>
          <w:p w14:paraId="76B0FDF7">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（1）</w:t>
            </w:r>
            <w:r>
              <w:rPr>
                <w:rFonts w:asciiTheme="minorEastAsia" w:hAnsiTheme="minorEastAsia" w:eastAsiaTheme="minorEastAsia"/>
                <w:bCs/>
                <w:color w:val="000000" w:themeColor="text1"/>
                <w:sz w:val="24"/>
                <w:szCs w:val="24"/>
                <w14:textFill>
                  <w14:solidFill>
                    <w14:schemeClr w14:val="tx1"/>
                  </w14:solidFill>
                </w14:textFill>
              </w:rPr>
              <w:t>构成本招标文件的各个组成文件应互为解释，互为说明；</w:t>
            </w:r>
          </w:p>
          <w:p w14:paraId="7F0BDB2C">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（2）</w:t>
            </w:r>
            <w:r>
              <w:rPr>
                <w:rFonts w:asciiTheme="minorEastAsia" w:hAnsiTheme="minorEastAsia" w:eastAsiaTheme="minorEastAsia"/>
                <w:bCs/>
                <w:color w:val="000000" w:themeColor="text1"/>
                <w:sz w:val="24"/>
                <w:szCs w:val="24"/>
                <w14:textFill>
                  <w14:solidFill>
                    <w14:schemeClr w14:val="tx1"/>
                  </w14:solidFill>
                </w14:textFill>
              </w:rPr>
              <w:t>同一组成文件中就同一事项的规定或约定不一致的，以编排顺序在后者为准；</w:t>
            </w:r>
          </w:p>
          <w:p w14:paraId="04E41D4D">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（3）</w:t>
            </w:r>
            <w:r>
              <w:rPr>
                <w:rFonts w:asciiTheme="minorEastAsia" w:hAnsiTheme="minorEastAsia" w:eastAsiaTheme="minorEastAsia"/>
                <w:bCs/>
                <w:color w:val="000000" w:themeColor="text1"/>
                <w:sz w:val="24"/>
                <w:szCs w:val="24"/>
                <w14:textFill>
                  <w14:solidFill>
                    <w14:schemeClr w14:val="tx1"/>
                  </w14:solidFill>
                </w14:textFill>
              </w:rPr>
              <w:t>如有不明确或不一致，构成合同文件组成内容的，以合同文件约定内容为准，且以专用合同条款约定的合同文件优先顺序解释；</w:t>
            </w:r>
          </w:p>
          <w:p w14:paraId="3E44BF41">
            <w:pPr>
              <w:spacing w:line="400" w:lineRule="exact"/>
              <w:ind w:firstLine="45"/>
              <w:rPr>
                <w:rFonts w:hint="eastAsia" w:asciiTheme="minorEastAsia" w:hAnsiTheme="minorEastAsia" w:eastAsiaTheme="minorEastAsia"/>
                <w:bCs/>
                <w:color w:val="000000" w:themeColor="text1"/>
                <w:sz w:val="24"/>
                <w:szCs w:val="24"/>
                <w14:textFill>
                  <w14:solidFill>
                    <w14:schemeClr w14:val="tx1"/>
                  </w14:solidFill>
                </w14:textFill>
              </w:rPr>
            </w:pPr>
            <w:r>
              <w:rPr>
                <w:rFonts w:hint="eastAsia" w:asciiTheme="minorEastAsia" w:hAnsiTheme="minorEastAsia" w:eastAsiaTheme="minorEastAsia"/>
                <w:bCs/>
                <w:color w:val="000000" w:themeColor="text1"/>
                <w:sz w:val="24"/>
                <w:szCs w:val="24"/>
                <w14:textFill>
                  <w14:solidFill>
                    <w14:schemeClr w14:val="tx1"/>
                  </w14:solidFill>
                </w14:textFill>
              </w:rPr>
              <w:t>（4）</w:t>
            </w:r>
            <w:r>
              <w:rPr>
                <w:rFonts w:asciiTheme="minorEastAsia" w:hAnsiTheme="minorEastAsia" w:eastAsiaTheme="minorEastAsia"/>
                <w:bCs/>
                <w:color w:val="000000" w:themeColor="text1"/>
                <w:sz w:val="24"/>
                <w:szCs w:val="24"/>
                <w14:textFill>
                  <w14:solidFill>
                    <w14:schemeClr w14:val="tx1"/>
                  </w14:solidFill>
                </w14:textFill>
              </w:rPr>
              <w:t>除招标文件中有特别规定外，仅适用于招标投标阶段的规定，按招标公告、</w:t>
            </w:r>
            <w:r>
              <w:rPr>
                <w:rFonts w:hint="eastAsia" w:asciiTheme="minorEastAsia" w:hAnsiTheme="minorEastAsia" w:eastAsiaTheme="minorEastAsia"/>
                <w:bCs/>
                <w:color w:val="000000" w:themeColor="text1"/>
                <w:sz w:val="24"/>
                <w:szCs w:val="24"/>
                <w14:textFill>
                  <w14:solidFill>
                    <w14:schemeClr w14:val="tx1"/>
                  </w14:solidFill>
                </w14:textFill>
              </w:rPr>
              <w:t>投标邀请、</w:t>
            </w:r>
            <w:r>
              <w:rPr>
                <w:rFonts w:asciiTheme="minorEastAsia" w:hAnsiTheme="minorEastAsia" w:eastAsiaTheme="minorEastAsia"/>
                <w:bCs/>
                <w:color w:val="000000" w:themeColor="text1"/>
                <w:sz w:val="24"/>
                <w:szCs w:val="24"/>
                <w14:textFill>
                  <w14:solidFill>
                    <w14:schemeClr w14:val="tx1"/>
                  </w14:solidFill>
                </w14:textFill>
              </w:rPr>
              <w:t>投标人须知、评标</w:t>
            </w:r>
            <w:r>
              <w:rPr>
                <w:rFonts w:hint="eastAsia" w:asciiTheme="minorEastAsia" w:hAnsiTheme="minorEastAsia" w:eastAsiaTheme="minorEastAsia"/>
                <w:bCs/>
                <w:color w:val="000000" w:themeColor="text1"/>
                <w:sz w:val="24"/>
                <w:szCs w:val="24"/>
                <w14:textFill>
                  <w14:solidFill>
                    <w14:schemeClr w14:val="tx1"/>
                  </w14:solidFill>
                </w14:textFill>
              </w:rPr>
              <w:t>方</w:t>
            </w:r>
            <w:r>
              <w:rPr>
                <w:rFonts w:asciiTheme="minorEastAsia" w:hAnsiTheme="minorEastAsia" w:eastAsiaTheme="minorEastAsia"/>
                <w:bCs/>
                <w:color w:val="000000" w:themeColor="text1"/>
                <w:sz w:val="24"/>
                <w:szCs w:val="24"/>
                <w14:textFill>
                  <w14:solidFill>
                    <w14:schemeClr w14:val="tx1"/>
                  </w14:solidFill>
                </w14:textFill>
              </w:rPr>
              <w:t>法</w:t>
            </w:r>
            <w:r>
              <w:rPr>
                <w:rFonts w:hint="eastAsia" w:asciiTheme="minorEastAsia" w:hAnsiTheme="minorEastAsia" w:eastAsiaTheme="minorEastAsia"/>
                <w:bCs/>
                <w:color w:val="000000" w:themeColor="text1"/>
                <w:sz w:val="24"/>
                <w:szCs w:val="24"/>
                <w14:textFill>
                  <w14:solidFill>
                    <w14:schemeClr w14:val="tx1"/>
                  </w14:solidFill>
                </w14:textFill>
              </w:rPr>
              <w:t>和标准</w:t>
            </w:r>
            <w:r>
              <w:rPr>
                <w:rFonts w:asciiTheme="minorEastAsia" w:hAnsiTheme="minorEastAsia" w:eastAsiaTheme="minorEastAsia"/>
                <w:bCs/>
                <w:color w:val="000000" w:themeColor="text1"/>
                <w:sz w:val="24"/>
                <w:szCs w:val="24"/>
                <w14:textFill>
                  <w14:solidFill>
                    <w14:schemeClr w14:val="tx1"/>
                  </w14:solidFill>
                </w14:textFill>
              </w:rPr>
              <w:t>、投标文件格式的先后顺序解释；</w:t>
            </w:r>
          </w:p>
          <w:p w14:paraId="6E6A07DD">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 w:val="0"/>
                <w:color w:val="000000" w:themeColor="text1"/>
                <w:kern w:val="2"/>
                <w:sz w:val="24"/>
                <w:szCs w:val="24"/>
                <w14:textFill>
                  <w14:solidFill>
                    <w14:schemeClr w14:val="tx1"/>
                  </w14:solidFill>
                </w14:textFill>
              </w:rPr>
              <w:t>（5）</w:t>
            </w:r>
            <w:r>
              <w:rPr>
                <w:rFonts w:asciiTheme="minorEastAsia" w:hAnsiTheme="minorEastAsia" w:eastAsiaTheme="minorEastAsia"/>
                <w:b w:val="0"/>
                <w:color w:val="000000" w:themeColor="text1"/>
                <w:kern w:val="2"/>
                <w:sz w:val="24"/>
                <w:szCs w:val="24"/>
                <w14:textFill>
                  <w14:solidFill>
                    <w14:schemeClr w14:val="tx1"/>
                  </w14:solidFill>
                </w14:textFill>
              </w:rPr>
              <w:t>按本款前述规定仍不能形成结论的，由</w:t>
            </w:r>
            <w:r>
              <w:rPr>
                <w:rFonts w:hint="eastAsia" w:asciiTheme="minorEastAsia" w:hAnsiTheme="minorEastAsia" w:eastAsiaTheme="minorEastAsia"/>
                <w:b w:val="0"/>
                <w:color w:val="000000" w:themeColor="text1"/>
                <w:kern w:val="2"/>
                <w:sz w:val="24"/>
                <w:szCs w:val="24"/>
                <w14:textFill>
                  <w14:solidFill>
                    <w14:schemeClr w14:val="tx1"/>
                  </w14:solidFill>
                </w14:textFill>
              </w:rPr>
              <w:t>采购</w:t>
            </w:r>
            <w:r>
              <w:rPr>
                <w:rFonts w:asciiTheme="minorEastAsia" w:hAnsiTheme="minorEastAsia" w:eastAsiaTheme="minorEastAsia"/>
                <w:b w:val="0"/>
                <w:color w:val="000000" w:themeColor="text1"/>
                <w:kern w:val="2"/>
                <w:sz w:val="24"/>
                <w:szCs w:val="24"/>
                <w14:textFill>
                  <w14:solidFill>
                    <w14:schemeClr w14:val="tx1"/>
                  </w14:solidFill>
                </w14:textFill>
              </w:rPr>
              <w:t>人负责解释。</w:t>
            </w:r>
          </w:p>
          <w:p w14:paraId="74BC8EA9">
            <w:pPr>
              <w:pStyle w:val="44"/>
              <w:widowControl w:val="0"/>
              <w:spacing w:before="0" w:beforeAutospacing="0" w:after="0" w:afterAutospacing="0" w:line="400" w:lineRule="exact"/>
              <w:ind w:firstLine="45"/>
              <w:jc w:val="both"/>
              <w:rPr>
                <w:rFonts w:hint="eastAsia" w:asciiTheme="minorEastAsia" w:hAnsiTheme="minorEastAsia" w:eastAsiaTheme="minorEastAsia"/>
                <w:b w:val="0"/>
                <w:color w:val="000000" w:themeColor="text1"/>
                <w:kern w:val="2"/>
                <w:sz w:val="24"/>
                <w:szCs w:val="24"/>
                <w14:textFill>
                  <w14:solidFill>
                    <w14:schemeClr w14:val="tx1"/>
                  </w14:solidFill>
                </w14:textFill>
              </w:rPr>
            </w:pPr>
            <w:r>
              <w:rPr>
                <w:rFonts w:hint="eastAsia" w:asciiTheme="minorEastAsia" w:hAnsiTheme="minorEastAsia" w:eastAsiaTheme="minorEastAsia"/>
                <w:bCs w:val="0"/>
                <w:color w:val="000000" w:themeColor="text1"/>
                <w:kern w:val="2"/>
                <w:sz w:val="24"/>
                <w:szCs w:val="24"/>
                <w14:textFill>
                  <w14:solidFill>
                    <w14:schemeClr w14:val="tx1"/>
                  </w14:solidFill>
                </w14:textFill>
              </w:rPr>
              <w:t>（6）投标单位中标后须递交与纸质投标文件完全一致的电子版投标文件一份，一并递交给代理机构。</w:t>
            </w:r>
          </w:p>
        </w:tc>
      </w:tr>
    </w:tbl>
    <w:p w14:paraId="2E83419A">
      <w:pPr>
        <w:spacing w:line="360" w:lineRule="auto"/>
        <w:jc w:val="center"/>
        <w:outlineLvl w:val="1"/>
        <w:rPr>
          <w:rFonts w:hint="eastAsia"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34" w:name="_Toc14880"/>
      <w:bookmarkStart w:id="35" w:name="_Toc24882"/>
      <w:r>
        <w:rPr>
          <w:rFonts w:hint="eastAsia" w:asciiTheme="minorEastAsia" w:hAnsiTheme="minorEastAsia" w:eastAsiaTheme="minorEastAsia"/>
          <w:b/>
          <w:sz w:val="24"/>
          <w:szCs w:val="24"/>
          <w:highlight w:val="none"/>
        </w:rPr>
        <w:t>二、</w:t>
      </w:r>
      <w:r>
        <w:rPr>
          <w:rFonts w:asciiTheme="minorEastAsia" w:hAnsiTheme="minorEastAsia" w:eastAsiaTheme="minorEastAsia"/>
          <w:b/>
          <w:sz w:val="24"/>
          <w:szCs w:val="24"/>
          <w:highlight w:val="none"/>
        </w:rPr>
        <w:t>投标人须知</w:t>
      </w:r>
      <w:r>
        <w:rPr>
          <w:rFonts w:hint="eastAsia" w:asciiTheme="minorEastAsia" w:hAnsiTheme="minorEastAsia" w:eastAsiaTheme="minorEastAsia"/>
          <w:b/>
          <w:sz w:val="24"/>
          <w:szCs w:val="24"/>
          <w:highlight w:val="none"/>
        </w:rPr>
        <w:t>正文</w:t>
      </w:r>
      <w:bookmarkEnd w:id="34"/>
      <w:bookmarkEnd w:id="35"/>
    </w:p>
    <w:p w14:paraId="7C78863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1.采购人、采购代理机构及投标人</w:t>
      </w:r>
    </w:p>
    <w:p w14:paraId="36C1BA95">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411FAE6F">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7773BD06">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p>
    <w:p w14:paraId="2E27942E">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.4投标人：是指向采购人提供货物、工程或者服务的法人、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本项目的投标人须满足以下条件：</w:t>
      </w:r>
    </w:p>
    <w:p w14:paraId="3F6C6C1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3D7AD3B1">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以采购代理机构认可的方式获得了本项目的招标文件。</w:t>
      </w:r>
    </w:p>
    <w:p w14:paraId="2C180F6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中写明允许采购进口产品，投标人应保证所投产品可履行合法报通关手续进入中国关境内。</w:t>
      </w:r>
    </w:p>
    <w:p w14:paraId="3212F386">
      <w:pPr>
        <w:spacing w:line="360" w:lineRule="auto"/>
        <w:ind w:firstLine="435"/>
        <w:rPr>
          <w:rFonts w:hint="eastAsia" w:ascii="宋体" w:hAnsi="宋体" w:eastAsia="宋体"/>
          <w:sz w:val="24"/>
          <w:highlight w:val="none"/>
        </w:rPr>
      </w:pPr>
      <w:r>
        <w:rPr>
          <w:rFonts w:hint="eastAsia" w:ascii="宋体" w:hAnsi="宋体" w:eastAsia="宋体"/>
          <w:sz w:val="24"/>
          <w:highlight w:val="none"/>
        </w:rPr>
        <w:t>若采购需求中未写明允许采购进口产品，如投标人所投产品为进口产品，其投标将被认定为</w:t>
      </w:r>
      <w:r>
        <w:rPr>
          <w:rFonts w:hint="eastAsia" w:ascii="宋体" w:hAnsi="宋体" w:eastAsia="宋体"/>
          <w:b/>
          <w:sz w:val="24"/>
          <w:highlight w:val="none"/>
        </w:rPr>
        <w:t>投标无效</w:t>
      </w:r>
      <w:r>
        <w:rPr>
          <w:rFonts w:hint="eastAsia" w:ascii="宋体" w:hAnsi="宋体" w:eastAsia="宋体"/>
          <w:sz w:val="24"/>
          <w:highlight w:val="none"/>
        </w:rPr>
        <w:t>。</w:t>
      </w:r>
    </w:p>
    <w:p w14:paraId="1C153C1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w:t>
      </w:r>
      <w:r>
        <w:rPr>
          <w:rFonts w:hint="eastAsia" w:ascii="宋体" w:hAnsi="宋体" w:eastAsia="宋体"/>
          <w:sz w:val="24"/>
          <w:highlight w:val="none"/>
        </w:rPr>
        <w:t>若招标公告</w:t>
      </w:r>
      <w:r>
        <w:rPr>
          <w:rFonts w:ascii="宋体" w:hAnsi="宋体" w:eastAsia="宋体"/>
          <w:sz w:val="24"/>
          <w:highlight w:val="none"/>
        </w:rPr>
        <w:t>中允许联合体投标，对联合体规定如下：</w:t>
      </w:r>
    </w:p>
    <w:p w14:paraId="75AFF59B">
      <w:pPr>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5.1两个以上供应商可以组成一个投标联合体，以一个投标人的身份投标。联合体投标的，</w:t>
      </w:r>
      <w:r>
        <w:rPr>
          <w:rFonts w:hint="eastAsia" w:ascii="宋体" w:hAnsi="宋体" w:eastAsia="宋体"/>
          <w:sz w:val="24"/>
          <w:highlight w:val="none"/>
        </w:rPr>
        <w:t>招标文件获取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w:t>
      </w:r>
      <w:r>
        <w:rPr>
          <w:rFonts w:hint="eastAsia" w:ascii="宋体" w:hAnsi="宋体" w:eastAsia="宋体"/>
          <w:sz w:val="24"/>
          <w:highlight w:val="none"/>
        </w:rPr>
        <w:t>一成员单位</w:t>
      </w:r>
      <w:r>
        <w:rPr>
          <w:rFonts w:ascii="宋体" w:hAnsi="宋体" w:eastAsia="宋体"/>
          <w:sz w:val="24"/>
          <w:highlight w:val="none"/>
        </w:rPr>
        <w:t>办理均可。</w:t>
      </w:r>
    </w:p>
    <w:p w14:paraId="7A6E29A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5.2联合体各方均应符合《中华人民共和国政府采购法》第二十二条规定的条件。</w:t>
      </w:r>
    </w:p>
    <w:p w14:paraId="6F41C11D">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5.3采购人根据采购项目对投标人的特殊要求，联合体中至少应当有一方符合相关规定。</w:t>
      </w:r>
    </w:p>
    <w:p w14:paraId="489A6BB2">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作为投标文件</w:t>
      </w:r>
      <w:r>
        <w:rPr>
          <w:rFonts w:hint="eastAsia" w:ascii="宋体" w:hAnsi="宋体" w:eastAsia="宋体"/>
          <w:sz w:val="24"/>
          <w:highlight w:val="none"/>
        </w:rPr>
        <w:t>的</w:t>
      </w:r>
      <w:r>
        <w:rPr>
          <w:rFonts w:ascii="宋体" w:hAnsi="宋体" w:eastAsia="宋体"/>
          <w:sz w:val="24"/>
          <w:highlight w:val="none"/>
        </w:rPr>
        <w:t>一部分提交。</w:t>
      </w:r>
    </w:p>
    <w:p w14:paraId="672276BC">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5.5大中型企业、其他自然人、法人或者非法人组织与小型、微型企业组成联合体共同参加投标，</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w:t>
      </w:r>
      <w:r>
        <w:rPr>
          <w:rFonts w:ascii="宋体" w:hAnsi="宋体" w:eastAsia="宋体"/>
          <w:sz w:val="24"/>
          <w:highlight w:val="none"/>
        </w:rPr>
        <w:t>投标总金额的比例。</w:t>
      </w:r>
    </w:p>
    <w:p w14:paraId="3031F9CB">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08489F04">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sz w:val="24"/>
          <w:highlight w:val="none"/>
        </w:rPr>
        <w:t>投标无效</w:t>
      </w:r>
      <w:r>
        <w:rPr>
          <w:rFonts w:ascii="宋体" w:hAnsi="宋体" w:eastAsia="宋体"/>
          <w:sz w:val="24"/>
          <w:highlight w:val="none"/>
        </w:rPr>
        <w:t>。</w:t>
      </w:r>
    </w:p>
    <w:p w14:paraId="65090DC1">
      <w:pPr>
        <w:spacing w:line="360" w:lineRule="auto"/>
        <w:ind w:firstLine="435"/>
        <w:rPr>
          <w:rFonts w:hint="eastAsia"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5.8对联合体投标的其他资格要求见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276192E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2.资金落实情况</w:t>
      </w:r>
    </w:p>
    <w:p w14:paraId="654CC5E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w:t>
      </w:r>
      <w:r>
        <w:rPr>
          <w:rFonts w:hint="eastAsia" w:ascii="宋体" w:hAnsi="宋体" w:eastAsia="宋体"/>
          <w:sz w:val="24"/>
          <w:highlight w:val="none"/>
        </w:rPr>
        <w:t>项目</w:t>
      </w:r>
      <w:r>
        <w:rPr>
          <w:rFonts w:hint="eastAsia" w:asciiTheme="minorEastAsia" w:hAnsiTheme="minorEastAsia" w:eastAsiaTheme="minorEastAsia"/>
          <w:sz w:val="24"/>
          <w:highlight w:val="none"/>
        </w:rPr>
        <w:t>的采购人已获得足以支付本次招标后所签订的合同项下的资金。</w:t>
      </w:r>
    </w:p>
    <w:p w14:paraId="4D51655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3.投标费用</w:t>
      </w:r>
    </w:p>
    <w:p w14:paraId="46AAAC4D">
      <w:pPr>
        <w:spacing w:line="360" w:lineRule="auto"/>
        <w:ind w:firstLine="435"/>
        <w:rPr>
          <w:rFonts w:hint="eastAsia" w:ascii="宋体" w:hAnsi="宋体" w:eastAsia="宋体"/>
          <w:sz w:val="24"/>
          <w:highlight w:val="none"/>
        </w:rPr>
      </w:pPr>
      <w:r>
        <w:rPr>
          <w:rFonts w:hint="eastAsia" w:ascii="宋体" w:hAnsi="宋体" w:eastAsia="宋体"/>
          <w:sz w:val="24"/>
          <w:highlight w:val="none"/>
        </w:rPr>
        <w:t>不论投标的结果如何，投标人应承担所有与准备和参加投标有关的费用。</w:t>
      </w:r>
    </w:p>
    <w:p w14:paraId="1CA0E80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63F33202">
      <w:pPr>
        <w:spacing w:line="360" w:lineRule="auto"/>
        <w:ind w:firstLine="435"/>
        <w:rPr>
          <w:rFonts w:hint="eastAsia" w:asciiTheme="minorEastAsia" w:hAnsiTheme="minorEastAsia" w:eastAsiaTheme="minorEastAsia"/>
          <w:b/>
          <w:sz w:val="24"/>
          <w:highlight w:val="none"/>
        </w:rPr>
      </w:pPr>
      <w:r>
        <w:rPr>
          <w:rFonts w:hint="eastAsia" w:ascii="宋体" w:hAnsi="宋体" w:eastAsia="宋体"/>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03D2572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5.招标文件构成</w:t>
      </w:r>
    </w:p>
    <w:p w14:paraId="376690F8">
      <w:pPr>
        <w:spacing w:line="360" w:lineRule="auto"/>
        <w:ind w:firstLine="435"/>
        <w:rPr>
          <w:rFonts w:hint="eastAsia" w:ascii="宋体" w:hAnsi="宋体" w:eastAsia="宋体"/>
          <w:sz w:val="24"/>
          <w:highlight w:val="none"/>
        </w:rPr>
      </w:pPr>
      <w:r>
        <w:rPr>
          <w:rFonts w:hint="eastAsia" w:ascii="宋体" w:hAnsi="宋体" w:eastAsia="宋体"/>
          <w:sz w:val="24"/>
          <w:highlight w:val="none"/>
        </w:rPr>
        <w:t>5.1招标文件包括下列内容：</w:t>
      </w:r>
    </w:p>
    <w:p w14:paraId="74D44219">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投标邀请</w:t>
      </w:r>
    </w:p>
    <w:p w14:paraId="0DF8A847">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投标人须知</w:t>
      </w:r>
    </w:p>
    <w:p w14:paraId="175C748D">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50F00702">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评标</w:t>
      </w:r>
      <w:r>
        <w:rPr>
          <w:rFonts w:hint="eastAsia" w:asciiTheme="minorEastAsia" w:hAnsiTheme="minorEastAsia" w:eastAsiaTheme="minorEastAsia"/>
          <w:sz w:val="24"/>
          <w:highlight w:val="none"/>
        </w:rPr>
        <w:t>方法</w:t>
      </w:r>
      <w:r>
        <w:rPr>
          <w:rFonts w:asciiTheme="minorEastAsia" w:hAnsiTheme="minorEastAsia" w:eastAsiaTheme="minorEastAsia"/>
          <w:sz w:val="24"/>
          <w:highlight w:val="none"/>
        </w:rPr>
        <w:t>和标准</w:t>
      </w:r>
    </w:p>
    <w:p w14:paraId="2349C400">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5FF0F988">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投标文件格式</w:t>
      </w:r>
    </w:p>
    <w:p w14:paraId="3AA1C5D3">
      <w:pPr>
        <w:spacing w:line="360" w:lineRule="auto"/>
        <w:ind w:firstLine="840" w:firstLineChars="35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6B2F0D4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考察（标前答疑会）</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w:t>
      </w:r>
    </w:p>
    <w:p w14:paraId="071E91D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原则上采购人、采购代理机构不要求投标人提供样品。仅凭书面方式不能准确描述采购需求，或者需要对样品进行主观判断以确认是否满足采购需求等特殊情况除外。</w:t>
      </w:r>
    </w:p>
    <w:p w14:paraId="3ACE1F4E">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如需提供样品，对样品相关要求见</w:t>
      </w:r>
      <w:r>
        <w:rPr>
          <w:rFonts w:hint="eastAsia" w:asciiTheme="minorEastAsia" w:hAnsiTheme="minorEastAsia" w:eastAsiaTheme="minorEastAsia"/>
          <w:sz w:val="24"/>
          <w:highlight w:val="none"/>
        </w:rPr>
        <w:t>采购需求</w:t>
      </w:r>
      <w:r>
        <w:rPr>
          <w:rFonts w:asciiTheme="minorEastAsia" w:hAnsiTheme="minorEastAsia" w:eastAsiaTheme="minorEastAsia"/>
          <w:sz w:val="24"/>
          <w:highlight w:val="none"/>
        </w:rPr>
        <w:t>，对样品的评审方法及评审标准见招标文件第</w:t>
      </w:r>
      <w:r>
        <w:rPr>
          <w:rFonts w:hint="eastAsia" w:asciiTheme="minorEastAsia" w:hAnsiTheme="minorEastAsia" w:eastAsiaTheme="minorEastAsia"/>
          <w:sz w:val="24"/>
          <w:highlight w:val="none"/>
        </w:rPr>
        <w:t>四</w:t>
      </w:r>
      <w:r>
        <w:rPr>
          <w:rFonts w:asciiTheme="minorEastAsia" w:hAnsiTheme="minorEastAsia" w:eastAsiaTheme="minorEastAsia"/>
          <w:sz w:val="24"/>
          <w:highlight w:val="none"/>
        </w:rPr>
        <w:t>章。</w:t>
      </w:r>
    </w:p>
    <w:p w14:paraId="1093B54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投标人应认真阅读招标文件所有的事项、格式、条款和技术规范等。</w:t>
      </w:r>
    </w:p>
    <w:p w14:paraId="0D9E124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6.招标文件的澄清与修改</w:t>
      </w:r>
    </w:p>
    <w:p w14:paraId="042FEB1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投标人如对招标文件内容有疑问，</w:t>
      </w:r>
      <w:r>
        <w:rPr>
          <w:rFonts w:hint="eastAsia" w:asciiTheme="minorEastAsia" w:hAnsiTheme="minorEastAsia" w:eastAsiaTheme="minorEastAsia"/>
          <w:sz w:val="24"/>
          <w:highlight w:val="none"/>
        </w:rPr>
        <w:t>可</w:t>
      </w:r>
      <w:r>
        <w:rPr>
          <w:rFonts w:asciiTheme="minorEastAsia" w:hAnsiTheme="minorEastAsia" w:eastAsiaTheme="minorEastAsia"/>
          <w:sz w:val="24"/>
          <w:highlight w:val="none"/>
        </w:rPr>
        <w:t>在</w:t>
      </w:r>
      <w:r>
        <w:rPr>
          <w:rFonts w:ascii="宋体" w:hAnsi="宋体" w:eastAsia="宋体"/>
          <w:sz w:val="24"/>
          <w:highlight w:val="none"/>
          <w:u w:val="single"/>
        </w:rPr>
        <w:t>投标人须知前附表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w:t>
      </w:r>
      <w:r>
        <w:rPr>
          <w:rFonts w:hint="eastAsia" w:ascii="宋体" w:hAnsi="宋体" w:eastAsia="宋体" w:cs="宋体"/>
          <w:color w:val="000000"/>
          <w:sz w:val="24"/>
          <w:szCs w:val="24"/>
          <w:highlight w:val="none"/>
        </w:rPr>
        <w:t>电子邮件形式向采购代理机构（采购代理机构邮箱：82358483@qq.com）提交疑问</w:t>
      </w:r>
      <w:r>
        <w:rPr>
          <w:rFonts w:asciiTheme="minorEastAsia" w:hAnsiTheme="minorEastAsia" w:eastAsiaTheme="minorEastAsia"/>
          <w:sz w:val="24"/>
          <w:highlight w:val="none"/>
        </w:rPr>
        <w:t>。</w:t>
      </w:r>
    </w:p>
    <w:p w14:paraId="3D5A74C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2采购人可主动地或在答复投标人提出的询问时对招标文件进行澄清与修改。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在滁州市第一人民医院网以发布更正公告的方式</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澄清或修改招标文件，更正公告的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为招标文件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组成部分，对投标人起约束作用</w:t>
      </w:r>
      <w:r>
        <w:rPr>
          <w:rFonts w:hint="eastAsia" w:asciiTheme="minorEastAsia" w:hAnsiTheme="minorEastAsia" w:eastAsiaTheme="minorEastAsia"/>
          <w:sz w:val="24"/>
          <w:highlight w:val="none"/>
        </w:rPr>
        <w:t>。投标人应主动上网查询。采购代理机构不承担投标人未及时关注相关信息引发的相关责任。</w:t>
      </w:r>
    </w:p>
    <w:p w14:paraId="523F8CBA">
      <w:pPr>
        <w:spacing w:line="360" w:lineRule="auto"/>
        <w:ind w:firstLine="435"/>
        <w:rPr>
          <w:rFonts w:hint="eastAsia" w:ascii="宋体" w:hAnsi="宋体" w:eastAsia="宋体"/>
          <w:sz w:val="24"/>
          <w:highlight w:val="none"/>
        </w:rPr>
      </w:pPr>
      <w:r>
        <w:rPr>
          <w:rFonts w:hint="eastAsia" w:ascii="宋体" w:hAnsi="宋体" w:eastAsia="宋体"/>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6B069482">
      <w:pPr>
        <w:spacing w:line="360" w:lineRule="auto"/>
        <w:ind w:firstLine="435"/>
        <w:rPr>
          <w:rFonts w:hint="eastAsia" w:asciiTheme="minorEastAsia" w:hAnsiTheme="minorEastAsia" w:eastAsiaTheme="minorEastAsia"/>
          <w:i/>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疑问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项目投标的</w:t>
      </w:r>
      <w:r>
        <w:rPr>
          <w:rFonts w:hint="eastAsia" w:asciiTheme="minorEastAsia" w:hAnsiTheme="minorEastAsia" w:eastAsiaTheme="minorEastAsia"/>
          <w:sz w:val="24"/>
          <w:highlight w:val="none"/>
        </w:rPr>
        <w:t>投标人</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招标文件（含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767C305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7.投标范围及投标文件中标准和计量单位的使用</w:t>
      </w:r>
    </w:p>
    <w:p w14:paraId="15586AC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ascii="宋体" w:hAnsi="宋体" w:eastAsia="宋体"/>
          <w:sz w:val="24"/>
          <w:highlight w:val="none"/>
        </w:rPr>
        <w:t>项目</w:t>
      </w:r>
      <w:r>
        <w:rPr>
          <w:rFonts w:asciiTheme="minorEastAsia" w:hAnsiTheme="minorEastAsia" w:eastAsiaTheme="minorEastAsia"/>
          <w:sz w:val="24"/>
          <w:highlight w:val="none"/>
        </w:rPr>
        <w:t>有分包的，投标人可对招标文件其中某一个或几个分包进行投标，除非在</w:t>
      </w:r>
      <w:r>
        <w:rPr>
          <w:rFonts w:asciiTheme="minorEastAsia" w:hAnsiTheme="minorEastAsia" w:eastAsiaTheme="minorEastAsia"/>
          <w:sz w:val="24"/>
          <w:highlight w:val="none"/>
          <w:u w:val="single"/>
        </w:rPr>
        <w:t>投标人须知前附表</w:t>
      </w:r>
      <w:r>
        <w:rPr>
          <w:rFonts w:asciiTheme="minorEastAsia" w:hAnsiTheme="minorEastAsia" w:eastAsiaTheme="minorEastAsia"/>
          <w:sz w:val="24"/>
          <w:highlight w:val="none"/>
        </w:rPr>
        <w:t>中另有规定。</w:t>
      </w:r>
    </w:p>
    <w:p w14:paraId="7C052C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.2投标人应当对所投分包招标文件中“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需求”所列的所有内容进行投标，如仅响应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w:t>
      </w:r>
      <w:r>
        <w:rPr>
          <w:rFonts w:asciiTheme="minorEastAsia" w:hAnsiTheme="minorEastAsia" w:eastAsiaTheme="minorEastAsia"/>
          <w:sz w:val="24"/>
          <w:highlight w:val="none"/>
        </w:rPr>
        <w:t>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6D7723A4">
      <w:pPr>
        <w:spacing w:line="360" w:lineRule="auto"/>
        <w:ind w:firstLine="435"/>
        <w:rPr>
          <w:rFonts w:hint="eastAsia" w:asciiTheme="minorEastAsia" w:hAnsiTheme="minorEastAsia" w:eastAsiaTheme="minorEastAsia"/>
          <w:sz w:val="24"/>
          <w:highlight w:val="none"/>
        </w:rPr>
      </w:pPr>
      <w:bookmarkStart w:id="36" w:name="_Hlk16458980"/>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.3无论招标文件中是否要求，</w:t>
      </w:r>
      <w:r>
        <w:rPr>
          <w:rFonts w:hint="eastAsia" w:asciiTheme="minorEastAsia" w:hAnsiTheme="minorEastAsia" w:eastAsiaTheme="minorEastAsia"/>
          <w:sz w:val="24"/>
          <w:highlight w:val="none"/>
        </w:rPr>
        <w:t>投标人所投货物及伴随的服务和工程均应符合国家强制性标准。</w:t>
      </w:r>
    </w:p>
    <w:bookmarkEnd w:id="36"/>
    <w:p w14:paraId="0E9F4AC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投标人与采购</w:t>
      </w:r>
      <w:r>
        <w:rPr>
          <w:rFonts w:hint="eastAsia" w:asciiTheme="minorEastAsia" w:hAnsiTheme="minorEastAsia" w:eastAsiaTheme="minorEastAsia"/>
          <w:sz w:val="24"/>
          <w:highlight w:val="none"/>
        </w:rPr>
        <w:t>代理</w:t>
      </w:r>
      <w:r>
        <w:rPr>
          <w:rFonts w:asciiTheme="minorEastAsia" w:hAnsiTheme="minorEastAsia" w:eastAsiaTheme="minorEastAsia"/>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1004AC6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w:t>
      </w:r>
      <w:r>
        <w:rPr>
          <w:rFonts w:ascii="宋体" w:hAnsi="宋体" w:eastAsia="宋体"/>
          <w:sz w:val="24"/>
          <w:highlight w:val="none"/>
        </w:rPr>
        <w:t>招标文件</w:t>
      </w:r>
      <w:r>
        <w:rPr>
          <w:rFonts w:asciiTheme="minorEastAsia" w:hAnsiTheme="minorEastAsia" w:eastAsiaTheme="minorEastAsia"/>
          <w:sz w:val="24"/>
          <w:highlight w:val="none"/>
        </w:rPr>
        <w:t>中有特殊要求外，投标文件中所使用的计量单位，应采用中华人民共和国法定计量单位。</w:t>
      </w:r>
    </w:p>
    <w:p w14:paraId="1E56CBC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投标文件构成</w:t>
      </w:r>
    </w:p>
    <w:p w14:paraId="02D45B6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ascii="宋体" w:hAnsi="宋体" w:eastAsia="宋体"/>
          <w:sz w:val="24"/>
          <w:highlight w:val="none"/>
        </w:rPr>
        <w:t>投标人</w:t>
      </w:r>
      <w:r>
        <w:rPr>
          <w:rFonts w:asciiTheme="minorEastAsia" w:hAnsiTheme="minorEastAsia" w:eastAsiaTheme="minorEastAsia"/>
          <w:sz w:val="24"/>
          <w:highlight w:val="none"/>
        </w:rPr>
        <w:t>应完整地按招标文件提供的投标文件格式及要求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写投标文件，</w:t>
      </w:r>
      <w:r>
        <w:rPr>
          <w:rFonts w:hint="eastAsia" w:asciiTheme="minorEastAsia" w:hAnsiTheme="minorEastAsia" w:eastAsiaTheme="minorEastAsia"/>
          <w:sz w:val="24"/>
          <w:highlight w:val="none"/>
        </w:rPr>
        <w:t>具体内容详见本项目投标文件格式的相关内容。</w:t>
      </w:r>
    </w:p>
    <w:p w14:paraId="27C3242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ascii="宋体" w:hAnsi="宋体" w:eastAsia="宋体"/>
          <w:sz w:val="24"/>
          <w:highlight w:val="none"/>
        </w:rPr>
        <w:t>投标人</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招标文件要求的</w:t>
      </w:r>
      <w:r>
        <w:rPr>
          <w:rFonts w:asciiTheme="minorEastAsia" w:hAnsiTheme="minorEastAsia" w:eastAsiaTheme="minorEastAsia"/>
          <w:sz w:val="24"/>
          <w:highlight w:val="none"/>
        </w:rPr>
        <w:t>证明文件，证明其投标内容符合招标文件规定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该证明文件是投标文件的一部分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bookmarkStart w:id="37" w:name="_Hlk11703583"/>
      <w:r>
        <w:rPr>
          <w:rFonts w:hint="eastAsia" w:asciiTheme="minorEastAsia" w:hAnsiTheme="minorEastAsia" w:eastAsiaTheme="minorEastAsia"/>
          <w:sz w:val="24"/>
          <w:highlight w:val="none"/>
        </w:rPr>
        <w:t>等。</w:t>
      </w:r>
    </w:p>
    <w:bookmarkEnd w:id="37"/>
    <w:p w14:paraId="044FE78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公正，除非另有规定或说明，投标人对同一项目投标时，不得同时提供</w:t>
      </w:r>
      <w:r>
        <w:rPr>
          <w:rFonts w:hint="eastAsia" w:asciiTheme="minorEastAsia" w:hAnsiTheme="minorEastAsia" w:eastAsiaTheme="minorEastAsia"/>
          <w:sz w:val="24"/>
          <w:highlight w:val="none"/>
        </w:rPr>
        <w:t>备选</w:t>
      </w:r>
      <w:r>
        <w:rPr>
          <w:rFonts w:asciiTheme="minorEastAsia" w:hAnsiTheme="minorEastAsia" w:eastAsiaTheme="minorEastAsia"/>
          <w:sz w:val="24"/>
          <w:highlight w:val="none"/>
        </w:rPr>
        <w:t>投标方案。</w:t>
      </w:r>
    </w:p>
    <w:p w14:paraId="08722FB1">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投标报价</w:t>
      </w:r>
    </w:p>
    <w:p w14:paraId="1F9C404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.1投标人的报价应当包括满足本次招标全部采购需求</w:t>
      </w:r>
      <w:r>
        <w:rPr>
          <w:rFonts w:hint="eastAsia" w:asciiTheme="minorEastAsia" w:hAnsiTheme="minorEastAsia" w:eastAsiaTheme="minorEastAsia"/>
          <w:sz w:val="24"/>
          <w:highlight w:val="none"/>
        </w:rPr>
        <w:t>。除招标文件另有规定外，所有投标均应以人民币报价。投标人的投标报价应遵守《中华人民共和国价格法》。</w:t>
      </w:r>
    </w:p>
    <w:p w14:paraId="485A359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.2投标人报价超过招标文件规定的预算金额或者分项、分包最高限价，其投标将被认定为</w:t>
      </w:r>
      <w:r>
        <w:rPr>
          <w:rFonts w:asciiTheme="minorEastAsia" w:hAnsiTheme="minorEastAsia" w:eastAsiaTheme="minorEastAsia"/>
          <w:b/>
          <w:bCs/>
          <w:sz w:val="24"/>
          <w:highlight w:val="none"/>
        </w:rPr>
        <w:t>投标无效</w:t>
      </w:r>
      <w:r>
        <w:rPr>
          <w:rFonts w:asciiTheme="minorEastAsia" w:hAnsiTheme="minorEastAsia" w:eastAsiaTheme="minorEastAsia"/>
          <w:sz w:val="24"/>
          <w:highlight w:val="none"/>
        </w:rPr>
        <w:t>。</w:t>
      </w:r>
    </w:p>
    <w:p w14:paraId="47C5AC6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3投标报价</w:t>
      </w:r>
      <w:r>
        <w:rPr>
          <w:rFonts w:asciiTheme="minorEastAsia" w:hAnsiTheme="minorEastAsia" w:eastAsiaTheme="minorEastAsia"/>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0572E1A1">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sz w:val="24"/>
          <w:highlight w:val="none"/>
        </w:rPr>
        <w:t>必要时提交相关证明材料；投标人不能证明其报价合理性的，其投标将被认定为</w:t>
      </w:r>
      <w:r>
        <w:rPr>
          <w:rFonts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23468F8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64FD87D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投标保证金</w:t>
      </w:r>
    </w:p>
    <w:p w14:paraId="6D51DDE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10.1本项目不收取投标保证金。</w:t>
      </w:r>
    </w:p>
    <w:p w14:paraId="78BA149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投标有效期</w:t>
      </w:r>
    </w:p>
    <w:p w14:paraId="15B40D6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11.1投标有效期为从投标截止之日算起的日历天数，投标有效期详见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3773766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11.2在投标有效期内，投标人的投标保持有效，投标人不得要求撤销或修改其投标文件。投标有效期不满足要求的投标，其投标将被认定为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sz w:val="24"/>
          <w:highlight w:val="none"/>
        </w:rPr>
        <w:t>投标无效</w:t>
      </w:r>
      <w:r>
        <w:rPr>
          <w:rFonts w:hint="eastAsia" w:asciiTheme="minorEastAsia" w:hAnsiTheme="minorEastAsia" w:eastAsiaTheme="minorEastAsia"/>
          <w:sz w:val="24"/>
          <w:highlight w:val="none"/>
        </w:rPr>
        <w:t>。</w:t>
      </w:r>
    </w:p>
    <w:p w14:paraId="6391E731">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6F5F2F38">
      <w:pPr>
        <w:spacing w:line="360" w:lineRule="auto"/>
        <w:ind w:firstLine="437"/>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投标文件的密封、递交、修改与撤回</w:t>
      </w:r>
    </w:p>
    <w:p w14:paraId="31A3712E">
      <w:pPr>
        <w:spacing w:line="360" w:lineRule="auto"/>
        <w:ind w:firstLine="435"/>
        <w:rPr>
          <w:rFonts w:hint="eastAsia" w:ascii="宋体" w:hAnsi="宋体" w:cs="宋体"/>
          <w:szCs w:val="21"/>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2.1投标文件的份数和签署</w:t>
      </w:r>
    </w:p>
    <w:p w14:paraId="6639B2A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（1）投标文件份数：</w:t>
      </w:r>
      <w:r>
        <w:rPr>
          <w:rFonts w:hint="eastAsia" w:asciiTheme="minorEastAsia" w:hAnsiTheme="minorEastAsia" w:eastAsiaTheme="minorEastAsia"/>
          <w:color w:val="0000FF"/>
          <w:sz w:val="24"/>
          <w:highlight w:val="none"/>
        </w:rPr>
        <w:t>一式三份，正本一份，副本二份</w:t>
      </w:r>
      <w:r>
        <w:rPr>
          <w:rFonts w:hint="eastAsia" w:asciiTheme="minorEastAsia" w:hAnsiTheme="minorEastAsia" w:eastAsiaTheme="minorEastAsia"/>
          <w:sz w:val="24"/>
          <w:highlight w:val="none"/>
        </w:rPr>
        <w:t>。</w:t>
      </w:r>
    </w:p>
    <w:p w14:paraId="4E885CD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（1）投标文件的正本和副本均需打印或使用不褪色的蓝、黑墨水笔书写，字迹应清晰易于辩认，并应在投标文件封面的右上角清楚地注明“正本”或“副本”。正本和副本如有不一致之处，以正本为准。</w:t>
      </w:r>
    </w:p>
    <w:p w14:paraId="605E23E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12．2投标文件的密封和标记</w:t>
      </w:r>
    </w:p>
    <w:p w14:paraId="16935A0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（1）供应商应当将投标文件正本、副本密封在一个档案袋内。</w:t>
      </w:r>
    </w:p>
    <w:p w14:paraId="2DF1E94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注：样品按评分标准中的要求进行密封和标记。</w:t>
      </w:r>
    </w:p>
    <w:p w14:paraId="34902D9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12.3投标文件的提交</w:t>
      </w:r>
    </w:p>
    <w:p w14:paraId="1A3245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 供应商应在供应商须知前附表规定的提交截止时间前递交投标文件。</w:t>
      </w:r>
    </w:p>
    <w:p w14:paraId="15AA2081">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（2）供应商提交投标文件的地点：见供应商须知前附表。</w:t>
      </w:r>
    </w:p>
    <w:p w14:paraId="3AADBB3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（3）除供应商须知前附表另有规定外，供应商所递交的投标文件不予退还。</w:t>
      </w:r>
    </w:p>
    <w:p w14:paraId="35F442B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（4）逾期送达的或者未送达指定地点的投标文件，采购人不予受理。</w:t>
      </w:r>
    </w:p>
    <w:p w14:paraId="76AF30A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12.4投标文件的补充、修改与撤回</w:t>
      </w:r>
    </w:p>
    <w:p w14:paraId="39E9706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（1）供应商在本章规定的投标文件投标截止时间前，供应商可以修改或撤回已递交的投标文件，但应以书面形式通知采购人。</w:t>
      </w:r>
    </w:p>
    <w:p w14:paraId="4B89BFB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（2）供应商修改或撤回已递交投标文件的书面通知应按照本章的要求签字或盖章。</w:t>
      </w:r>
    </w:p>
    <w:p w14:paraId="7E8C8DF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（3）供应商撤回投标文件的，采购人自收到供应商书面撤回通知之日起5日内退还已收取的投标保证金。</w:t>
      </w:r>
    </w:p>
    <w:p w14:paraId="712F4FA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（4）修改的内容为投标文件的组成部分。</w:t>
      </w:r>
    </w:p>
    <w:p w14:paraId="3F100E3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开标</w:t>
      </w:r>
    </w:p>
    <w:p w14:paraId="65FF202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开标时，</w:t>
      </w:r>
      <w:r>
        <w:rPr>
          <w:rFonts w:ascii="宋体" w:hAnsi="宋体" w:eastAsia="宋体" w:cs="宋体"/>
          <w:sz w:val="24"/>
          <w:szCs w:val="24"/>
          <w:highlight w:val="none"/>
        </w:rPr>
        <w:t>应</w:t>
      </w:r>
      <w:r>
        <w:rPr>
          <w:rFonts w:hint="eastAsia" w:ascii="宋体" w:hAnsi="宋体" w:eastAsia="宋体" w:cs="宋体"/>
          <w:sz w:val="24"/>
          <w:szCs w:val="24"/>
          <w:highlight w:val="none"/>
        </w:rPr>
        <w:t>对</w:t>
      </w:r>
      <w:r>
        <w:rPr>
          <w:rFonts w:ascii="宋体" w:hAnsi="宋体" w:eastAsia="宋体" w:cs="宋体"/>
          <w:sz w:val="24"/>
          <w:szCs w:val="24"/>
          <w:highlight w:val="none"/>
        </w:rPr>
        <w:t>各投标人</w:t>
      </w:r>
      <w:r>
        <w:rPr>
          <w:rFonts w:hint="eastAsia" w:ascii="宋体" w:hAnsi="宋体" w:eastAsia="宋体" w:cs="宋体"/>
          <w:sz w:val="24"/>
          <w:szCs w:val="24"/>
          <w:highlight w:val="none"/>
        </w:rPr>
        <w:t>的</w:t>
      </w:r>
      <w:r>
        <w:rPr>
          <w:rFonts w:asciiTheme="minorEastAsia" w:hAnsiTheme="minorEastAsia" w:eastAsiaTheme="minorEastAsia"/>
          <w:sz w:val="24"/>
          <w:highlight w:val="none"/>
        </w:rPr>
        <w:t>投标文件</w:t>
      </w:r>
      <w:r>
        <w:rPr>
          <w:rFonts w:hint="eastAsia" w:asciiTheme="minorEastAsia" w:hAnsiTheme="minorEastAsia" w:eastAsiaTheme="minorEastAsia"/>
          <w:sz w:val="24"/>
          <w:highlight w:val="none"/>
        </w:rPr>
        <w:t>密封情况进行检查</w:t>
      </w:r>
      <w:r>
        <w:rPr>
          <w:rFonts w:asciiTheme="minorEastAsia" w:hAnsiTheme="minorEastAsia" w:eastAsiaTheme="minorEastAsia"/>
          <w:sz w:val="24"/>
          <w:highlight w:val="none"/>
        </w:rPr>
        <w:t>。</w:t>
      </w:r>
    </w:p>
    <w:p w14:paraId="0780C0B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开标时，采购代理机构将公布</w:t>
      </w:r>
      <w:r>
        <w:rPr>
          <w:rFonts w:hint="eastAsia" w:asciiTheme="minorEastAsia" w:hAnsiTheme="minorEastAsia" w:eastAsiaTheme="minorEastAsia"/>
          <w:sz w:val="24"/>
          <w:highlight w:val="none"/>
        </w:rPr>
        <w:t>开标结果，公布内容包括投标人名称、投标价格及招标文件规定的内容。</w:t>
      </w:r>
    </w:p>
    <w:p w14:paraId="716E432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13.3采购人或采购代理机构将对开标过程进行记录，并存档备查。</w:t>
      </w:r>
    </w:p>
    <w:p w14:paraId="2E136073">
      <w:pPr>
        <w:spacing w:line="360" w:lineRule="auto"/>
        <w:ind w:firstLine="435"/>
        <w:rPr>
          <w:rFonts w:hint="eastAsia" w:asciiTheme="minorEastAsia" w:hAnsiTheme="minorEastAsia" w:eastAsiaTheme="minorEastAsia"/>
          <w:sz w:val="28"/>
          <w:highlight w:val="none"/>
        </w:rPr>
      </w:pPr>
      <w:r>
        <w:rPr>
          <w:rFonts w:hint="eastAsia" w:asciiTheme="minorEastAsia" w:hAnsiTheme="minorEastAsia" w:eastAsiaTheme="minorEastAsia"/>
          <w:sz w:val="24"/>
          <w:highlight w:val="none"/>
        </w:rPr>
        <w:t>13.4投标人代表对开标过程和开标记录有疑义，以及认为采购人、采购代理机构相关工作人员有需要回避的情形的，应当场提出询问或者回避申请。</w:t>
      </w:r>
    </w:p>
    <w:p w14:paraId="3867ECA0">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资格审查及组建评标委员会</w:t>
      </w:r>
    </w:p>
    <w:p w14:paraId="05ED8F9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14.1采购人或采购代理机构依据法律法规和招标文件中规定的内</w:t>
      </w:r>
      <w:r>
        <w:rPr>
          <w:rFonts w:asciiTheme="minorEastAsia" w:hAnsiTheme="minorEastAsia" w:eastAsiaTheme="minorEastAsia"/>
          <w:sz w:val="24"/>
          <w:highlight w:val="none"/>
        </w:rPr>
        <w:t>容</w:t>
      </w:r>
      <w:r>
        <w:rPr>
          <w:rFonts w:hint="eastAsia" w:asciiTheme="minorEastAsia" w:hAnsiTheme="minorEastAsia" w:eastAsiaTheme="minorEastAsia"/>
          <w:sz w:val="24"/>
          <w:highlight w:val="none"/>
        </w:rPr>
        <w:t>，对投标人资格进行审查，未</w:t>
      </w:r>
      <w:r>
        <w:rPr>
          <w:rFonts w:asciiTheme="minorEastAsia" w:hAnsiTheme="minorEastAsia" w:eastAsiaTheme="minorEastAsia"/>
          <w:sz w:val="24"/>
          <w:highlight w:val="none"/>
        </w:rPr>
        <w:t>通过资格审查的投标人</w:t>
      </w:r>
      <w:r>
        <w:rPr>
          <w:rFonts w:hint="eastAsia" w:asciiTheme="minorEastAsia" w:hAnsiTheme="minorEastAsia" w:eastAsiaTheme="minorEastAsia"/>
          <w:sz w:val="24"/>
          <w:highlight w:val="none"/>
        </w:rPr>
        <w:t>不</w:t>
      </w:r>
      <w:r>
        <w:rPr>
          <w:rFonts w:asciiTheme="minorEastAsia" w:hAnsiTheme="minorEastAsia" w:eastAsiaTheme="minorEastAsia"/>
          <w:sz w:val="24"/>
          <w:highlight w:val="none"/>
        </w:rPr>
        <w:t>进入评标</w:t>
      </w:r>
      <w:r>
        <w:rPr>
          <w:rFonts w:hint="eastAsia" w:asciiTheme="minorEastAsia" w:hAnsiTheme="minorEastAsia" w:eastAsiaTheme="minorEastAsia"/>
          <w:sz w:val="24"/>
          <w:highlight w:val="none"/>
        </w:rPr>
        <w:t>。</w:t>
      </w:r>
    </w:p>
    <w:p w14:paraId="05AA690E">
      <w:pPr>
        <w:spacing w:line="360" w:lineRule="auto"/>
        <w:ind w:firstLine="435"/>
        <w:rPr>
          <w:rFonts w:hint="eastAsia" w:ascii="宋体" w:hAnsi="宋体" w:eastAsia="宋体" w:cs="宋体"/>
          <w:sz w:val="24"/>
          <w:szCs w:val="24"/>
          <w:highlight w:val="none"/>
        </w:rPr>
      </w:pPr>
      <w:bookmarkStart w:id="38" w:name="_Hlk24663244"/>
      <w:r>
        <w:rPr>
          <w:rFonts w:hint="eastAsia" w:ascii="宋体" w:hAnsi="宋体" w:eastAsia="宋体" w:cs="宋体"/>
          <w:sz w:val="24"/>
          <w:szCs w:val="24"/>
          <w:highlight w:val="none"/>
        </w:rPr>
        <w:t>以联合体形式参加投标的，联合体成员存在以上不良信用记录的，联合体投标将被认定为</w:t>
      </w:r>
      <w:r>
        <w:rPr>
          <w:rFonts w:hint="eastAsia" w:ascii="宋体" w:hAnsi="宋体" w:eastAsia="宋体" w:cs="宋体"/>
          <w:b/>
          <w:sz w:val="24"/>
          <w:szCs w:val="24"/>
          <w:highlight w:val="none"/>
        </w:rPr>
        <w:t>投标无效</w:t>
      </w:r>
      <w:r>
        <w:rPr>
          <w:rFonts w:hint="eastAsia" w:ascii="宋体" w:hAnsi="宋体" w:eastAsia="宋体" w:cs="宋体"/>
          <w:sz w:val="24"/>
          <w:szCs w:val="24"/>
          <w:highlight w:val="none"/>
        </w:rPr>
        <w:t>。</w:t>
      </w:r>
    </w:p>
    <w:bookmarkEnd w:id="38"/>
    <w:p w14:paraId="758CDF5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投标文件符合性审查与澄清</w:t>
      </w:r>
    </w:p>
    <w:p w14:paraId="3861726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w:t>
      </w:r>
      <w:r>
        <w:rPr>
          <w:rFonts w:asciiTheme="minorEastAsia" w:hAnsiTheme="minorEastAsia" w:eastAsiaTheme="minorEastAsia"/>
          <w:sz w:val="24"/>
          <w:highlight w:val="none"/>
        </w:rPr>
        <w:t>.1符合性审查是指依据招标文件的规定，从投标文件的有效性和完整性对招标文件的响应程度</w:t>
      </w:r>
      <w:r>
        <w:rPr>
          <w:rFonts w:ascii="宋体" w:hAnsi="宋体" w:eastAsia="宋体"/>
          <w:sz w:val="24"/>
          <w:highlight w:val="none"/>
        </w:rPr>
        <w:t>进行</w:t>
      </w:r>
      <w:r>
        <w:rPr>
          <w:rFonts w:asciiTheme="minorEastAsia" w:hAnsiTheme="minorEastAsia" w:eastAsiaTheme="minorEastAsia"/>
          <w:sz w:val="24"/>
          <w:highlight w:val="none"/>
        </w:rPr>
        <w:t>审查，以确定是否对招标文件的实质性要求做出响应。</w:t>
      </w:r>
    </w:p>
    <w:p w14:paraId="0D6F0395">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2投标文件的澄清</w:t>
      </w:r>
    </w:p>
    <w:p w14:paraId="76E93202">
      <w:pPr>
        <w:spacing w:line="360" w:lineRule="auto"/>
        <w:ind w:firstLine="435"/>
        <w:rPr>
          <w:rFonts w:hint="eastAsia" w:ascii="宋体" w:hAnsi="宋体" w:eastAsia="宋体"/>
          <w:sz w:val="24"/>
          <w:highlight w:val="none"/>
        </w:rPr>
      </w:pPr>
      <w:r>
        <w:rPr>
          <w:rFonts w:hint="eastAsia" w:ascii="宋体" w:hAnsi="宋体" w:eastAsia="宋体"/>
          <w:sz w:val="24"/>
          <w:highlight w:val="none"/>
        </w:rPr>
        <w:t>15</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.1为有助于投标</w:t>
      </w:r>
      <w:r>
        <w:rPr>
          <w:rFonts w:hint="eastAsia" w:ascii="宋体" w:hAnsi="宋体" w:eastAsia="宋体"/>
          <w:sz w:val="24"/>
          <w:highlight w:val="none"/>
        </w:rPr>
        <w:t>文件</w:t>
      </w:r>
      <w:r>
        <w:rPr>
          <w:rFonts w:ascii="宋体" w:hAnsi="宋体" w:eastAsia="宋体"/>
          <w:sz w:val="24"/>
          <w:highlight w:val="none"/>
        </w:rPr>
        <w:t>的审查、评价和比较，在评标期间，评标委员会将以书面</w:t>
      </w:r>
      <w:r>
        <w:rPr>
          <w:rFonts w:hint="eastAsia" w:ascii="宋体" w:hAnsi="宋体" w:eastAsia="宋体"/>
          <w:sz w:val="24"/>
          <w:highlight w:val="none"/>
        </w:rPr>
        <w:t>方式（询标）</w:t>
      </w:r>
      <w:r>
        <w:rPr>
          <w:rFonts w:ascii="宋体" w:hAnsi="宋体" w:eastAsia="宋体"/>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sz w:val="24"/>
          <w:highlight w:val="none"/>
        </w:rPr>
        <w:t>审</w:t>
      </w:r>
      <w:r>
        <w:rPr>
          <w:rFonts w:ascii="宋体" w:hAnsi="宋体" w:eastAsia="宋体"/>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sz w:val="24"/>
          <w:highlight w:val="none"/>
        </w:rPr>
        <w:t>方式或通过电子邮箱（82358483@qq.com）方式</w:t>
      </w:r>
      <w:r>
        <w:rPr>
          <w:rFonts w:ascii="宋体" w:hAnsi="宋体" w:eastAsia="宋体"/>
          <w:sz w:val="24"/>
          <w:highlight w:val="none"/>
        </w:rPr>
        <w:t>进行，并不得超出投标文件范围或者改变投标文件的实质性内容。</w:t>
      </w:r>
    </w:p>
    <w:p w14:paraId="6B30707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15.2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投标人的澄清、说明或补正将作为投标文件的一部分。</w:t>
      </w:r>
    </w:p>
    <w:p w14:paraId="3C582555">
      <w:pPr>
        <w:spacing w:line="360" w:lineRule="auto"/>
        <w:ind w:firstLine="435"/>
        <w:rPr>
          <w:rFonts w:hint="eastAsia" w:ascii="宋体" w:hAnsi="宋体" w:eastAsia="宋体"/>
          <w:sz w:val="24"/>
          <w:highlight w:val="none"/>
        </w:rPr>
      </w:pPr>
      <w:r>
        <w:rPr>
          <w:rFonts w:hint="eastAsia" w:ascii="宋体" w:hAnsi="宋体" w:eastAsia="宋体"/>
          <w:sz w:val="24"/>
          <w:highlight w:val="none"/>
        </w:rPr>
        <w:t>15.2</w:t>
      </w:r>
      <w:r>
        <w:rPr>
          <w:rFonts w:ascii="宋体" w:hAnsi="宋体" w:eastAsia="宋体"/>
          <w:sz w:val="24"/>
          <w:highlight w:val="none"/>
        </w:rPr>
        <w:t>.3评标委员会对投标人提交的澄清、说明或补正有疑问的，可以要求投标人进一步澄清、说明或补正，直至满足评标委员会的要求。</w:t>
      </w:r>
    </w:p>
    <w:p w14:paraId="1C9CF118">
      <w:pPr>
        <w:spacing w:line="360" w:lineRule="auto"/>
        <w:ind w:firstLine="435"/>
        <w:rPr>
          <w:rFonts w:hint="eastAsia" w:ascii="宋体" w:hAnsi="宋体" w:eastAsia="宋体"/>
          <w:sz w:val="24"/>
          <w:highlight w:val="none"/>
        </w:rPr>
      </w:pPr>
      <w:r>
        <w:rPr>
          <w:rFonts w:hint="eastAsia" w:ascii="宋体" w:hAnsi="宋体" w:eastAsia="宋体"/>
          <w:sz w:val="24"/>
          <w:highlight w:val="none"/>
        </w:rPr>
        <w:t>15.3</w:t>
      </w:r>
      <w:r>
        <w:rPr>
          <w:rFonts w:ascii="宋体" w:hAnsi="宋体" w:eastAsia="宋体"/>
          <w:sz w:val="24"/>
          <w:highlight w:val="none"/>
        </w:rPr>
        <w:t>投标文件报价出现前后不一致的，按照下列规定修正：</w:t>
      </w:r>
    </w:p>
    <w:p w14:paraId="4BD9D692">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）投标文件中开标一览表内容与投标文件中相应内容不一致的，以开标一览表为准；</w:t>
      </w:r>
    </w:p>
    <w:p w14:paraId="7F09895C">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）大写金额和小写金额不一致的，以大写金额为准；</w:t>
      </w:r>
    </w:p>
    <w:p w14:paraId="2BE784F6">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3</w:t>
      </w:r>
      <w:r>
        <w:rPr>
          <w:rFonts w:ascii="宋体" w:hAnsi="宋体" w:eastAsia="宋体"/>
          <w:sz w:val="24"/>
          <w:highlight w:val="none"/>
        </w:rPr>
        <w:t>）单价金额小数点或者百分比有明显错位的，以开标一览表的总价为准，并修改单价；</w:t>
      </w:r>
    </w:p>
    <w:p w14:paraId="6BE492A1">
      <w:pPr>
        <w:spacing w:line="360" w:lineRule="auto"/>
        <w:ind w:firstLine="435"/>
        <w:rPr>
          <w:rFonts w:hint="eastAsia" w:ascii="宋体" w:hAnsi="宋体" w:eastAsia="宋体"/>
          <w:sz w:val="24"/>
          <w:highlight w:val="none"/>
        </w:rPr>
      </w:pPr>
      <w:r>
        <w:rPr>
          <w:rFonts w:ascii="宋体" w:hAnsi="宋体" w:eastAsia="宋体"/>
          <w:sz w:val="24"/>
          <w:highlight w:val="none"/>
        </w:rPr>
        <w:t>（</w:t>
      </w:r>
      <w:r>
        <w:rPr>
          <w:rFonts w:hint="eastAsia" w:ascii="宋体" w:hAnsi="宋体" w:eastAsia="宋体"/>
          <w:sz w:val="24"/>
          <w:highlight w:val="none"/>
        </w:rPr>
        <w:t>4</w:t>
      </w:r>
      <w:r>
        <w:rPr>
          <w:rFonts w:ascii="宋体" w:hAnsi="宋体" w:eastAsia="宋体"/>
          <w:sz w:val="24"/>
          <w:highlight w:val="none"/>
        </w:rPr>
        <w:t>）总价金额与按单价汇总金额不一致的，以单价金额计算结果为准。</w:t>
      </w:r>
    </w:p>
    <w:p w14:paraId="3ADA0C58">
      <w:pPr>
        <w:spacing w:line="360" w:lineRule="auto"/>
        <w:ind w:firstLine="435"/>
        <w:rPr>
          <w:rFonts w:hint="eastAsia" w:ascii="宋体" w:hAnsi="宋体" w:eastAsia="宋体"/>
          <w:sz w:val="24"/>
          <w:highlight w:val="none"/>
        </w:rPr>
      </w:pPr>
      <w:r>
        <w:rPr>
          <w:rFonts w:ascii="宋体" w:hAnsi="宋体" w:eastAsia="宋体"/>
          <w:sz w:val="24"/>
          <w:highlight w:val="none"/>
        </w:rPr>
        <w:t>同时出现两种以上不一致的，按照前款规定的顺序修正。修正后的报价按照第</w:t>
      </w:r>
      <w:r>
        <w:rPr>
          <w:rFonts w:hint="eastAsia" w:ascii="宋体" w:hAnsi="宋体" w:eastAsia="宋体"/>
          <w:sz w:val="24"/>
          <w:highlight w:val="none"/>
        </w:rPr>
        <w:t>15.</w:t>
      </w:r>
      <w:r>
        <w:rPr>
          <w:rFonts w:hint="eastAsia" w:ascii="宋体" w:hAnsi="宋体" w:eastAsia="宋体"/>
          <w:sz w:val="24"/>
          <w:highlight w:val="none"/>
          <w:lang w:val="en-US" w:eastAsia="zh-CN"/>
        </w:rPr>
        <w:t>3</w:t>
      </w:r>
      <w:r>
        <w:rPr>
          <w:rFonts w:ascii="宋体" w:hAnsi="宋体" w:eastAsia="宋体"/>
          <w:sz w:val="24"/>
          <w:highlight w:val="none"/>
        </w:rPr>
        <w:t>条的规定经投标人确认后产生约束力，</w:t>
      </w:r>
      <w:r>
        <w:rPr>
          <w:rFonts w:hint="eastAsia" w:ascii="宋体" w:hAnsi="宋体" w:eastAsia="宋体"/>
          <w:sz w:val="24"/>
          <w:highlight w:val="none"/>
        </w:rPr>
        <w:t>无论投标人是接受或是拒绝调整后的价格，都应当由投标人在系统中确认。投标人拒绝对投标文件出现的错漏按上述原则进行修正、澄清、说明，其投标将被认定为投标无效。</w:t>
      </w:r>
    </w:p>
    <w:p w14:paraId="5A186E80">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对不同文字文本投标文件的解释发生异议的，以中文文本为准。</w:t>
      </w:r>
    </w:p>
    <w:p w14:paraId="7653F8DE">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16.投标无效</w:t>
      </w:r>
    </w:p>
    <w:p w14:paraId="0E7F4AB9">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1根据本</w:t>
      </w:r>
      <w:r>
        <w:rPr>
          <w:rFonts w:hint="eastAsia" w:asciiTheme="minorEastAsia" w:hAnsiTheme="minorEastAsia" w:eastAsiaTheme="minorEastAsia"/>
          <w:sz w:val="24"/>
          <w:highlight w:val="none"/>
        </w:rPr>
        <w:t>招标文件</w:t>
      </w:r>
      <w:r>
        <w:rPr>
          <w:rFonts w:asciiTheme="minorEastAsia" w:hAnsiTheme="minorEastAsia" w:eastAsiaTheme="minorEastAsia"/>
          <w:sz w:val="24"/>
          <w:highlight w:val="none"/>
        </w:rPr>
        <w:t>的规定，评标委员会要审查每份投标文件是否实质上响应了招标文件的要求。投标人不得通过修正或撤销不符合要求的偏离，从而使其投标成为实质上响应的投标。</w:t>
      </w:r>
    </w:p>
    <w:p w14:paraId="4462483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评标委员会决定投标的响应性只根据招标文件要求和投标文件内容。</w:t>
      </w:r>
    </w:p>
    <w:p w14:paraId="097A2C5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无论何种原因，即使投标人投标时携带了证书材料的原件，但投标文件中未提供与之内容完全一致的扫描件的，评标委员会视同其未提供。</w:t>
      </w:r>
    </w:p>
    <w:p w14:paraId="2F04F4A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16.</w:t>
      </w:r>
      <w:r>
        <w:rPr>
          <w:rFonts w:asciiTheme="minorEastAsia" w:hAnsiTheme="minorEastAsia" w:eastAsiaTheme="minorEastAsia"/>
          <w:sz w:val="24"/>
          <w:highlight w:val="none"/>
        </w:rPr>
        <w:t>2如发现下列情况之一的，其投标将被认定为</w:t>
      </w:r>
      <w:r>
        <w:rPr>
          <w:rFonts w:asciiTheme="minorEastAsia" w:hAnsiTheme="minorEastAsia" w:eastAsiaTheme="minorEastAsia"/>
          <w:b/>
          <w:sz w:val="24"/>
          <w:highlight w:val="none"/>
        </w:rPr>
        <w:t>投标无效</w:t>
      </w:r>
      <w:r>
        <w:rPr>
          <w:rFonts w:asciiTheme="minorEastAsia" w:hAnsiTheme="minorEastAsia" w:eastAsiaTheme="minorEastAsia"/>
          <w:sz w:val="24"/>
          <w:highlight w:val="none"/>
        </w:rPr>
        <w:t>：</w:t>
      </w:r>
    </w:p>
    <w:p w14:paraId="6C2B8B9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1）投标文件未按照招标文件规定要求签署、盖章的；</w:t>
      </w:r>
    </w:p>
    <w:p w14:paraId="5D969AD5">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2）不具备招标文件中规定的资格要求的；</w:t>
      </w:r>
    </w:p>
    <w:p w14:paraId="75BED72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3）报价超过招标文件中规定的预算金额或者最高限价的；</w:t>
      </w:r>
    </w:p>
    <w:p w14:paraId="355039E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4）投标文件含有采购人不能接受的附加条件的；</w:t>
      </w:r>
    </w:p>
    <w:p w14:paraId="61CAF543">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5）法律、法规和招标文件规定的其他无效情形。</w:t>
      </w:r>
    </w:p>
    <w:p w14:paraId="42300613">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17.比较与评价</w:t>
      </w:r>
    </w:p>
    <w:p w14:paraId="4765CE9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17.1经符合性审查合格的投标文件，评标委员会将根据招标文件确定的评标方法和标准，对其投标文件作进一步的比较与评价。</w:t>
      </w:r>
    </w:p>
    <w:p w14:paraId="27B409F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17.2评标严格按照</w:t>
      </w:r>
      <w:r>
        <w:rPr>
          <w:rFonts w:hint="eastAsia" w:ascii="宋体" w:hAnsi="宋体" w:eastAsia="宋体"/>
          <w:sz w:val="24"/>
          <w:highlight w:val="none"/>
        </w:rPr>
        <w:t>招标文件</w:t>
      </w:r>
      <w:r>
        <w:rPr>
          <w:rFonts w:hint="eastAsia" w:asciiTheme="minorEastAsia" w:hAnsiTheme="minorEastAsia" w:eastAsiaTheme="minorEastAsia"/>
          <w:sz w:val="24"/>
          <w:highlight w:val="none"/>
        </w:rPr>
        <w:t>的要求和条件进行。根据实际情况，在</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中规定采用下列一种评标方法，详细评标方法和标准见招标文件第四章：</w:t>
      </w:r>
    </w:p>
    <w:p w14:paraId="40F02E83">
      <w:pPr>
        <w:spacing w:line="360" w:lineRule="auto"/>
        <w:ind w:firstLine="435"/>
        <w:rPr>
          <w:rFonts w:hint="eastAsia" w:ascii="宋体" w:hAnsi="宋体" w:eastAsia="宋体"/>
          <w:sz w:val="24"/>
          <w:highlight w:val="none"/>
        </w:rPr>
      </w:pPr>
      <w:r>
        <w:rPr>
          <w:rFonts w:hint="eastAsia" w:asciiTheme="minorEastAsia" w:hAnsiTheme="minorEastAsia" w:eastAsiaTheme="minorEastAsia"/>
          <w:b/>
          <w:bCs/>
          <w:sz w:val="24"/>
          <w:highlight w:val="none"/>
        </w:rPr>
        <w:t>（</w:t>
      </w:r>
      <w:r>
        <w:rPr>
          <w:rFonts w:hint="eastAsia" w:ascii="宋体" w:hAnsi="宋体" w:eastAsia="宋体"/>
          <w:b/>
          <w:bCs/>
          <w:sz w:val="24"/>
          <w:highlight w:val="none"/>
        </w:rPr>
        <w:t>1）最低评标价法，</w:t>
      </w:r>
      <w:r>
        <w:rPr>
          <w:rFonts w:hint="eastAsia" w:ascii="宋体" w:hAnsi="宋体" w:eastAsia="宋体"/>
          <w:sz w:val="24"/>
          <w:highlight w:val="none"/>
        </w:rPr>
        <w:t>是指</w:t>
      </w:r>
      <w:r>
        <w:rPr>
          <w:rFonts w:ascii="宋体" w:hAnsi="宋体" w:eastAsia="宋体"/>
          <w:sz w:val="24"/>
          <w:highlight w:val="none"/>
        </w:rPr>
        <w:t>投标文件满足招标文件全部实质性要求</w:t>
      </w:r>
      <w:r>
        <w:rPr>
          <w:rFonts w:hint="eastAsia" w:ascii="宋体" w:hAnsi="宋体" w:eastAsia="宋体"/>
          <w:sz w:val="24"/>
          <w:highlight w:val="none"/>
        </w:rPr>
        <w:t>，</w:t>
      </w:r>
      <w:r>
        <w:rPr>
          <w:rFonts w:ascii="宋体" w:hAnsi="宋体" w:eastAsia="宋体"/>
          <w:sz w:val="24"/>
          <w:highlight w:val="none"/>
        </w:rPr>
        <w:t>且投标报价最低的</w:t>
      </w:r>
      <w:r>
        <w:rPr>
          <w:rFonts w:hint="eastAsia" w:ascii="宋体" w:hAnsi="宋体" w:eastAsia="宋体"/>
          <w:sz w:val="24"/>
          <w:highlight w:val="none"/>
        </w:rPr>
        <w:t>投标人</w:t>
      </w:r>
      <w:r>
        <w:rPr>
          <w:rFonts w:ascii="宋体" w:hAnsi="宋体" w:eastAsia="宋体"/>
          <w:sz w:val="24"/>
          <w:highlight w:val="none"/>
        </w:rPr>
        <w:t>为中标</w:t>
      </w:r>
      <w:r>
        <w:rPr>
          <w:rFonts w:hint="eastAsia" w:ascii="宋体" w:hAnsi="宋体" w:eastAsia="宋体"/>
          <w:sz w:val="24"/>
          <w:highlight w:val="none"/>
        </w:rPr>
        <w:t>候选</w:t>
      </w:r>
      <w:r>
        <w:rPr>
          <w:rFonts w:ascii="宋体" w:hAnsi="宋体" w:eastAsia="宋体"/>
          <w:sz w:val="24"/>
          <w:highlight w:val="none"/>
        </w:rPr>
        <w:t>人的评标方法</w:t>
      </w:r>
      <w:r>
        <w:rPr>
          <w:rFonts w:hint="eastAsia" w:ascii="宋体" w:hAnsi="宋体" w:eastAsia="宋体"/>
          <w:sz w:val="24"/>
          <w:highlight w:val="none"/>
        </w:rPr>
        <w:t>。</w:t>
      </w:r>
    </w:p>
    <w:p w14:paraId="59353E3E">
      <w:pPr>
        <w:spacing w:line="360" w:lineRule="auto"/>
        <w:ind w:firstLine="435"/>
        <w:rPr>
          <w:rFonts w:hint="eastAsia" w:ascii="宋体" w:hAnsi="宋体" w:eastAsia="宋体"/>
          <w:sz w:val="24"/>
          <w:highlight w:val="none"/>
        </w:rPr>
      </w:pPr>
      <w:r>
        <w:rPr>
          <w:rFonts w:hint="eastAsia" w:ascii="宋体" w:hAnsi="宋体" w:eastAsia="宋体"/>
          <w:sz w:val="24"/>
          <w:highlight w:val="none"/>
        </w:rPr>
        <w:t>（2）综合评分法，是</w:t>
      </w:r>
      <w:r>
        <w:rPr>
          <w:rFonts w:ascii="宋体" w:hAnsi="宋体" w:eastAsia="宋体"/>
          <w:sz w:val="24"/>
          <w:highlight w:val="none"/>
        </w:rPr>
        <w:t>指投标文件满足招标</w:t>
      </w:r>
      <w:r>
        <w:rPr>
          <w:rFonts w:hint="eastAsia" w:ascii="宋体" w:hAnsi="宋体" w:eastAsia="宋体"/>
          <w:sz w:val="24"/>
          <w:highlight w:val="none"/>
        </w:rPr>
        <w:t>文件</w:t>
      </w:r>
      <w:r>
        <w:rPr>
          <w:rFonts w:ascii="宋体" w:hAnsi="宋体" w:eastAsia="宋体"/>
          <w:sz w:val="24"/>
          <w:highlight w:val="none"/>
        </w:rPr>
        <w:t>全部实质性要求</w:t>
      </w:r>
      <w:r>
        <w:rPr>
          <w:rFonts w:hint="eastAsia" w:ascii="宋体" w:hAnsi="宋体" w:eastAsia="宋体"/>
          <w:sz w:val="24"/>
          <w:highlight w:val="none"/>
        </w:rPr>
        <w:t>，</w:t>
      </w:r>
      <w:r>
        <w:rPr>
          <w:rFonts w:ascii="宋体" w:hAnsi="宋体" w:eastAsia="宋体"/>
          <w:sz w:val="24"/>
          <w:highlight w:val="none"/>
        </w:rPr>
        <w:t>且按照评审因素的</w:t>
      </w:r>
      <w:r>
        <w:rPr>
          <w:rFonts w:hint="eastAsia" w:ascii="宋体" w:hAnsi="宋体" w:eastAsia="宋体"/>
          <w:sz w:val="24"/>
          <w:highlight w:val="none"/>
        </w:rPr>
        <w:t>量化</w:t>
      </w:r>
      <w:r>
        <w:rPr>
          <w:rFonts w:ascii="宋体" w:hAnsi="宋体" w:eastAsia="宋体"/>
          <w:sz w:val="24"/>
          <w:highlight w:val="none"/>
        </w:rPr>
        <w:t>指标评审得分最高的</w:t>
      </w:r>
      <w:r>
        <w:rPr>
          <w:rFonts w:hint="eastAsia" w:ascii="宋体" w:hAnsi="宋体" w:eastAsia="宋体"/>
          <w:sz w:val="24"/>
          <w:highlight w:val="none"/>
        </w:rPr>
        <w:t>投标人</w:t>
      </w:r>
      <w:r>
        <w:rPr>
          <w:rFonts w:ascii="宋体" w:hAnsi="宋体" w:eastAsia="宋体"/>
          <w:sz w:val="24"/>
          <w:highlight w:val="none"/>
        </w:rPr>
        <w:t>为中标候选人的评标方法。</w:t>
      </w:r>
    </w:p>
    <w:p w14:paraId="7DD4C79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废标、重新招标与变更采购方式</w:t>
      </w:r>
    </w:p>
    <w:p w14:paraId="66FA30D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18.1出现下列情形之一，将导致项目废标：</w:t>
      </w:r>
    </w:p>
    <w:p w14:paraId="2730967A">
      <w:pPr>
        <w:spacing w:line="360" w:lineRule="auto"/>
        <w:ind w:firstLine="435"/>
        <w:rPr>
          <w:rFonts w:hint="eastAsia" w:ascii="宋体" w:hAnsi="宋体" w:eastAsia="宋体"/>
          <w:sz w:val="24"/>
          <w:highlight w:val="none"/>
        </w:rPr>
      </w:pPr>
      <w:r>
        <w:rPr>
          <w:rFonts w:hint="eastAsia" w:asciiTheme="minorEastAsia" w:hAnsiTheme="minorEastAsia" w:eastAsiaTheme="minorEastAsia"/>
          <w:sz w:val="24"/>
          <w:highlight w:val="none"/>
        </w:rPr>
        <w:t>（</w:t>
      </w:r>
      <w:r>
        <w:rPr>
          <w:rFonts w:hint="eastAsia" w:ascii="宋体" w:hAnsi="宋体" w:eastAsia="宋体"/>
          <w:sz w:val="24"/>
          <w:highlight w:val="none"/>
        </w:rPr>
        <w:t>1）符合专业条件的供应商或者对招标文件做实质性响应的供应商不足规定数量的；</w:t>
      </w:r>
    </w:p>
    <w:p w14:paraId="0E098F27">
      <w:pPr>
        <w:spacing w:line="360" w:lineRule="auto"/>
        <w:ind w:firstLine="435"/>
        <w:rPr>
          <w:rFonts w:hint="eastAsia" w:ascii="宋体" w:hAnsi="宋体" w:eastAsia="宋体"/>
          <w:sz w:val="24"/>
          <w:highlight w:val="none"/>
        </w:rPr>
      </w:pPr>
      <w:r>
        <w:rPr>
          <w:rFonts w:hint="eastAsia" w:ascii="宋体" w:hAnsi="宋体" w:eastAsia="宋体"/>
          <w:sz w:val="24"/>
          <w:highlight w:val="none"/>
        </w:rPr>
        <w:t>（2）出现影响采购公正的违法、违规行为的；</w:t>
      </w:r>
    </w:p>
    <w:p w14:paraId="1FC593ED">
      <w:pPr>
        <w:spacing w:line="360" w:lineRule="auto"/>
        <w:ind w:firstLine="435"/>
        <w:rPr>
          <w:rFonts w:hint="eastAsia" w:ascii="宋体" w:hAnsi="宋体" w:eastAsia="宋体"/>
          <w:sz w:val="24"/>
          <w:highlight w:val="none"/>
        </w:rPr>
      </w:pPr>
      <w:r>
        <w:rPr>
          <w:rFonts w:hint="eastAsia" w:ascii="宋体" w:hAnsi="宋体" w:eastAsia="宋体"/>
          <w:sz w:val="24"/>
          <w:highlight w:val="none"/>
        </w:rPr>
        <w:t>（3）投标人的报价均超过了采购预算，采购人不能支付的；</w:t>
      </w:r>
    </w:p>
    <w:p w14:paraId="79C8ACE2">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4855D841">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b w:val="0"/>
          <w:bCs w:val="0"/>
          <w:color w:val="000000" w:themeColor="text1"/>
          <w:sz w:val="24"/>
          <w:highlight w:val="none"/>
          <w14:textFill>
            <w14:solidFill>
              <w14:schemeClr w14:val="tx1"/>
            </w14:solidFill>
          </w14:textFill>
        </w:rPr>
        <w:t>18.2</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本项目</w:t>
      </w:r>
      <w:r>
        <w:rPr>
          <w:rFonts w:hint="eastAsia" w:asciiTheme="minorEastAsia" w:hAnsiTheme="minorEastAsia" w:eastAsiaTheme="minorEastAsia"/>
          <w:color w:val="000000" w:themeColor="text1"/>
          <w:sz w:val="24"/>
          <w:highlight w:val="none"/>
          <w14:textFill>
            <w14:solidFill>
              <w14:schemeClr w14:val="tx1"/>
            </w14:solidFill>
          </w14:textFill>
        </w:rPr>
        <w:t>投标截止后投标人不足</w:t>
      </w:r>
      <w:r>
        <w:rPr>
          <w:rFonts w:asciiTheme="minorEastAsia" w:hAnsiTheme="minorEastAsia" w:eastAsiaTheme="minorEastAsia"/>
          <w:color w:val="000000" w:themeColor="text1"/>
          <w:sz w:val="24"/>
          <w:highlight w:val="none"/>
          <w14:textFill>
            <w14:solidFill>
              <w14:schemeClr w14:val="tx1"/>
            </w14:solidFill>
          </w14:textFill>
        </w:rPr>
        <w:t>3家或者通过</w:t>
      </w:r>
      <w:r>
        <w:rPr>
          <w:rFonts w:hint="eastAsia" w:asciiTheme="minorEastAsia" w:hAnsiTheme="minorEastAsia" w:eastAsiaTheme="minorEastAsia"/>
          <w:color w:val="000000" w:themeColor="text1"/>
          <w:sz w:val="24"/>
          <w:highlight w:val="none"/>
          <w14:textFill>
            <w14:solidFill>
              <w14:schemeClr w14:val="tx1"/>
            </w14:solidFill>
          </w14:textFill>
        </w:rPr>
        <w:t>资格审查或符合性审查的投标人不足</w:t>
      </w:r>
      <w:r>
        <w:rPr>
          <w:rFonts w:asciiTheme="minorEastAsia" w:hAnsiTheme="minorEastAsia" w:eastAsiaTheme="minorEastAsia"/>
          <w:color w:val="000000" w:themeColor="text1"/>
          <w:sz w:val="24"/>
          <w:highlight w:val="none"/>
          <w14:textFill>
            <w14:solidFill>
              <w14:schemeClr w14:val="tx1"/>
            </w14:solidFill>
          </w14:textFill>
        </w:rPr>
        <w:t>3家的，除采购任务取消情形外，按照以下方式处理：</w:t>
      </w:r>
    </w:p>
    <w:p w14:paraId="7CE5B81B">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（1）招标文件存在不合理条款或者招标程序不符合规定的，采购人、采购代理机构改正后依法重新招标；</w:t>
      </w:r>
    </w:p>
    <w:p w14:paraId="72FD8773">
      <w:pPr>
        <w:spacing w:line="360" w:lineRule="auto"/>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（2）招标文件没有不合理条款、招标程序符合规定，需要采用其他采购方式采购的，</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需</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采购人</w:t>
      </w:r>
      <w:r>
        <w:rPr>
          <w:rFonts w:hint="eastAsia" w:asciiTheme="minorEastAsia" w:hAnsiTheme="minorEastAsia" w:eastAsiaTheme="minorEastAsia"/>
          <w:b w:val="0"/>
          <w:bCs w:val="0"/>
          <w:color w:val="000000" w:themeColor="text1"/>
          <w:sz w:val="24"/>
          <w:highlight w:val="none"/>
          <w14:textFill>
            <w14:solidFill>
              <w14:schemeClr w14:val="tx1"/>
            </w14:solidFill>
          </w14:textFill>
        </w:rPr>
        <w:t>同意</w:t>
      </w:r>
      <w:r>
        <w:rPr>
          <w:rFonts w:hint="eastAsia" w:asciiTheme="minorEastAsia" w:hAnsiTheme="minorEastAsia" w:eastAsiaTheme="minorEastAsia"/>
          <w:b w:val="0"/>
          <w:bCs w:val="0"/>
          <w:color w:val="000000" w:themeColor="text1"/>
          <w:sz w:val="24"/>
          <w:highlight w:val="none"/>
          <w:lang w:val="en-US" w:eastAsia="zh-CN"/>
          <w14:textFill>
            <w14:solidFill>
              <w14:schemeClr w14:val="tx1"/>
            </w14:solidFill>
          </w14:textFill>
        </w:rPr>
        <w:t>后方可实施</w:t>
      </w:r>
      <w:r>
        <w:rPr>
          <w:rFonts w:hint="eastAsia" w:asciiTheme="minorEastAsia" w:hAnsiTheme="minorEastAsia" w:eastAsiaTheme="minorEastAsia"/>
          <w:color w:val="000000" w:themeColor="text1"/>
          <w:sz w:val="24"/>
          <w:highlight w:val="none"/>
          <w14:textFill>
            <w14:solidFill>
              <w14:schemeClr w14:val="tx1"/>
            </w14:solidFill>
          </w14:textFill>
        </w:rPr>
        <w:t>。</w:t>
      </w:r>
    </w:p>
    <w:p w14:paraId="0912031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130CF26F">
      <w:pPr>
        <w:spacing w:line="360" w:lineRule="auto"/>
        <w:ind w:firstLine="435"/>
        <w:rPr>
          <w:rFonts w:hint="eastAsia" w:ascii="宋体" w:hAnsi="宋体" w:eastAsia="宋体"/>
          <w:sz w:val="24"/>
          <w:highlight w:val="none"/>
        </w:rPr>
      </w:pPr>
      <w:r>
        <w:rPr>
          <w:rFonts w:hint="eastAsia" w:ascii="宋体" w:hAnsi="宋体" w:eastAsia="宋体"/>
          <w:sz w:val="24"/>
          <w:highlight w:val="none"/>
        </w:rPr>
        <w:t>19.1评标将在严格保密的情况下进行。</w:t>
      </w:r>
    </w:p>
    <w:p w14:paraId="72BD3720">
      <w:pPr>
        <w:spacing w:line="360" w:lineRule="auto"/>
        <w:ind w:firstLine="435"/>
        <w:rPr>
          <w:rFonts w:hint="eastAsia" w:ascii="宋体" w:hAnsi="宋体" w:eastAsia="宋体"/>
          <w:sz w:val="24"/>
          <w:highlight w:val="none"/>
        </w:rPr>
      </w:pPr>
      <w:r>
        <w:rPr>
          <w:rFonts w:hint="eastAsia" w:ascii="宋体" w:hAnsi="宋体" w:eastAsia="宋体"/>
          <w:sz w:val="24"/>
          <w:highlight w:val="none"/>
        </w:rPr>
        <w:t>19.2有关人员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守评</w:t>
      </w:r>
      <w:r>
        <w:rPr>
          <w:rFonts w:hint="eastAsia" w:ascii="宋体" w:hAnsi="宋体" w:eastAsia="宋体"/>
          <w:sz w:val="24"/>
          <w:highlight w:val="none"/>
        </w:rPr>
        <w:t>标</w:t>
      </w:r>
      <w:r>
        <w:rPr>
          <w:rFonts w:ascii="宋体" w:hAnsi="宋体" w:eastAsia="宋体"/>
          <w:sz w:val="24"/>
          <w:highlight w:val="none"/>
        </w:rPr>
        <w:t>工作纪律，不得</w:t>
      </w:r>
      <w:r>
        <w:rPr>
          <w:rFonts w:hint="eastAsia" w:ascii="宋体" w:hAnsi="宋体" w:eastAsia="宋体"/>
          <w:sz w:val="24"/>
          <w:highlight w:val="none"/>
        </w:rPr>
        <w:t>泄露</w:t>
      </w:r>
      <w:r>
        <w:rPr>
          <w:rFonts w:ascii="宋体" w:hAnsi="宋体" w:eastAsia="宋体"/>
          <w:sz w:val="24"/>
          <w:highlight w:val="none"/>
        </w:rPr>
        <w:t>评</w:t>
      </w:r>
      <w:r>
        <w:rPr>
          <w:rFonts w:hint="eastAsia" w:ascii="宋体" w:hAnsi="宋体" w:eastAsia="宋体"/>
          <w:sz w:val="24"/>
          <w:highlight w:val="none"/>
        </w:rPr>
        <w:t>标文件</w:t>
      </w:r>
      <w:r>
        <w:rPr>
          <w:rFonts w:ascii="宋体" w:hAnsi="宋体" w:eastAsia="宋体"/>
          <w:sz w:val="24"/>
          <w:highlight w:val="none"/>
        </w:rPr>
        <w:t>、评</w:t>
      </w:r>
      <w:r>
        <w:rPr>
          <w:rFonts w:hint="eastAsia" w:ascii="宋体" w:hAnsi="宋体" w:eastAsia="宋体"/>
          <w:sz w:val="24"/>
          <w:highlight w:val="none"/>
        </w:rPr>
        <w:t>标</w:t>
      </w:r>
      <w:r>
        <w:rPr>
          <w:rFonts w:ascii="宋体" w:hAnsi="宋体" w:eastAsia="宋体"/>
          <w:sz w:val="24"/>
          <w:highlight w:val="none"/>
        </w:rPr>
        <w:t>情况和评</w:t>
      </w:r>
      <w:r>
        <w:rPr>
          <w:rFonts w:hint="eastAsia" w:ascii="宋体" w:hAnsi="宋体" w:eastAsia="宋体"/>
          <w:sz w:val="24"/>
          <w:highlight w:val="none"/>
        </w:rPr>
        <w:t>标</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5FF8B41D">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中标候选人的确定原则及标准</w:t>
      </w:r>
    </w:p>
    <w:p w14:paraId="63229D1E">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0</w:t>
      </w:r>
      <w:r>
        <w:rPr>
          <w:rFonts w:asciiTheme="minorEastAsia" w:hAnsiTheme="minorEastAsia" w:eastAsiaTheme="minorEastAsia"/>
          <w:sz w:val="24"/>
          <w:highlight w:val="none"/>
        </w:rPr>
        <w:t>.1评</w:t>
      </w:r>
      <w:r>
        <w:rPr>
          <w:rFonts w:hint="eastAsia" w:asciiTheme="minorEastAsia" w:hAnsiTheme="minorEastAsia" w:eastAsiaTheme="minorEastAsia"/>
          <w:sz w:val="24"/>
          <w:highlight w:val="none"/>
        </w:rPr>
        <w:t>标</w:t>
      </w:r>
      <w:r>
        <w:rPr>
          <w:rFonts w:asciiTheme="minorEastAsia" w:hAnsiTheme="minorEastAsia" w:eastAsiaTheme="minorEastAsia"/>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sz w:val="24"/>
          <w:highlight w:val="none"/>
        </w:rPr>
        <w:t>，确定中标候选人</w:t>
      </w:r>
      <w:r>
        <w:rPr>
          <w:rFonts w:asciiTheme="minorEastAsia" w:hAnsiTheme="minorEastAsia" w:eastAsiaTheme="minorEastAsia"/>
          <w:sz w:val="24"/>
          <w:highlight w:val="none"/>
        </w:rPr>
        <w:t>：</w:t>
      </w:r>
    </w:p>
    <w:p w14:paraId="41F266E8">
      <w:pPr>
        <w:spacing w:line="360" w:lineRule="auto"/>
        <w:ind w:firstLine="437"/>
        <w:outlineLvl w:val="2"/>
        <w:rPr>
          <w:rFonts w:hint="eastAsia" w:asciiTheme="minorEastAsia" w:hAnsiTheme="minorEastAsia" w:eastAsiaTheme="minorEastAsia"/>
          <w:sz w:val="24"/>
          <w:highlight w:val="none"/>
        </w:rPr>
      </w:pPr>
      <w:r>
        <w:rPr>
          <w:rFonts w:asciiTheme="minorEastAsia" w:hAnsiTheme="minorEastAsia" w:eastAsiaTheme="minorEastAsia"/>
          <w:b/>
          <w:bCs/>
          <w:sz w:val="24"/>
          <w:highlight w:val="none"/>
        </w:rPr>
        <w:t>采用最低评标价法的，</w:t>
      </w:r>
      <w:r>
        <w:rPr>
          <w:rFonts w:asciiTheme="minorEastAsia" w:hAnsiTheme="minorEastAsia" w:eastAsiaTheme="minorEastAsia"/>
          <w:sz w:val="24"/>
          <w:highlight w:val="none"/>
        </w:rPr>
        <w:t>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sz w:val="24"/>
          <w:highlight w:val="none"/>
        </w:rPr>
        <w:t>出现两家或两家以上相同者，采取评标委员会随机抽取的方式确定中标候选顺序。</w:t>
      </w:r>
    </w:p>
    <w:p w14:paraId="0B62B869">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确定中标候选人和中标人</w:t>
      </w:r>
    </w:p>
    <w:p w14:paraId="65495DB9">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.1评标委员会将根据评标标准，按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中规定数量推荐中标候选人。</w:t>
      </w:r>
    </w:p>
    <w:p w14:paraId="4A9D6A4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21.2按</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由评标委员会或采购人确定中标人。</w:t>
      </w:r>
    </w:p>
    <w:p w14:paraId="1403317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因重大变故采购任务取消时，采购人有权拒绝任何投标人中标，且对受影响的投标人不承担任何责任。</w:t>
      </w:r>
    </w:p>
    <w:p w14:paraId="598D4585">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编写评标报告</w:t>
      </w:r>
    </w:p>
    <w:p w14:paraId="1BB0EE5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6DB5209A">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中标结果公告</w:t>
      </w:r>
    </w:p>
    <w:p w14:paraId="58B0A456">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除</w:t>
      </w:r>
      <w:r>
        <w:rPr>
          <w:rFonts w:asciiTheme="minorEastAsia" w:hAnsiTheme="minorEastAsia" w:eastAsiaTheme="minorEastAsia"/>
          <w:sz w:val="24"/>
          <w:highlight w:val="none"/>
          <w:u w:val="single"/>
        </w:rPr>
        <w:t>投标</w:t>
      </w:r>
      <w:r>
        <w:rPr>
          <w:rFonts w:hint="eastAsia" w:asciiTheme="minorEastAsia" w:hAnsiTheme="minorEastAsia" w:eastAsiaTheme="minorEastAsia"/>
          <w:sz w:val="24"/>
          <w:highlight w:val="none"/>
          <w:u w:val="single"/>
        </w:rPr>
        <w:t>人</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规定由评标委员会直接确定中标</w:t>
      </w:r>
      <w:r>
        <w:rPr>
          <w:rFonts w:hint="eastAsia" w:asciiTheme="minorEastAsia" w:hAnsiTheme="minorEastAsia" w:eastAsiaTheme="minorEastAsia"/>
          <w:sz w:val="24"/>
          <w:highlight w:val="none"/>
        </w:rPr>
        <w:t>人外，</w:t>
      </w:r>
      <w:r>
        <w:rPr>
          <w:rFonts w:asciiTheme="minorEastAsia" w:hAnsiTheme="minorEastAsia" w:eastAsiaTheme="minorEastAsia"/>
          <w:sz w:val="24"/>
          <w:highlight w:val="none"/>
        </w:rPr>
        <w:t>在评标结束后2个工作日内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采购代理机构将评标报告送采购人。采购人应当自收到评标报告之日起</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B9D62C5">
      <w:pPr>
        <w:spacing w:line="360" w:lineRule="auto"/>
        <w:ind w:firstLine="435"/>
        <w:rPr>
          <w:rFonts w:hint="eastAsia" w:ascii="宋体" w:hAnsi="宋体" w:eastAsia="宋体"/>
          <w:sz w:val="24"/>
          <w:szCs w:val="18"/>
          <w:highlight w:val="none"/>
        </w:rPr>
      </w:pPr>
      <w:r>
        <w:rPr>
          <w:rFonts w:hint="eastAsia" w:asciiTheme="minorEastAsia" w:hAnsiTheme="minorEastAsia" w:eastAsiaTheme="minorEastAsia"/>
          <w:sz w:val="24"/>
          <w:highlight w:val="none"/>
        </w:rPr>
        <w:t>23</w:t>
      </w:r>
      <w:r>
        <w:rPr>
          <w:rFonts w:asciiTheme="minorEastAsia" w:hAnsiTheme="minorEastAsia" w:eastAsiaTheme="minorEastAsia"/>
          <w:sz w:val="24"/>
          <w:highlight w:val="none"/>
        </w:rPr>
        <w:t>.2</w:t>
      </w:r>
      <w:r>
        <w:rPr>
          <w:rFonts w:hint="eastAsia" w:ascii="宋体" w:hAnsi="宋体" w:eastAsia="宋体"/>
          <w:sz w:val="24"/>
          <w:szCs w:val="18"/>
          <w:highlight w:val="none"/>
        </w:rPr>
        <w:t>自中标人确定之日起2个工作日内，采购代理机构将在滁州市第一人民医院网</w:t>
      </w:r>
      <w:r>
        <w:rPr>
          <w:rFonts w:hint="eastAsia" w:ascii="宋体" w:hAnsi="宋体" w:eastAsia="宋体" w:cs="宋体"/>
          <w:color w:val="000000"/>
          <w:sz w:val="24"/>
          <w:szCs w:val="24"/>
          <w:highlight w:val="none"/>
        </w:rPr>
        <w:t>（http://www.czdyrmyy.com/index.asp）</w:t>
      </w:r>
      <w:r>
        <w:rPr>
          <w:rFonts w:hint="eastAsia" w:ascii="宋体" w:hAnsi="宋体" w:eastAsia="宋体"/>
          <w:sz w:val="24"/>
          <w:szCs w:val="18"/>
          <w:highlight w:val="none"/>
        </w:rPr>
        <w:t>上发布中标结果公告。</w:t>
      </w:r>
    </w:p>
    <w:p w14:paraId="4325C513">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23.3</w:t>
      </w:r>
      <w:r>
        <w:rPr>
          <w:rFonts w:asciiTheme="minorEastAsia" w:hAnsiTheme="minorEastAsia" w:eastAsiaTheme="minorEastAsia"/>
          <w:color w:val="000000" w:themeColor="text1"/>
          <w:sz w:val="24"/>
          <w14:textFill>
            <w14:solidFill>
              <w14:schemeClr w14:val="tx1"/>
            </w14:solidFill>
          </w14:textFill>
        </w:rPr>
        <w:t>中标结果公告内容应当包括采购人及其委托的采购代理机构的名称、地址、联系方式，项目名称和项目编号，中标人名称、地址和中标金额，</w:t>
      </w:r>
      <w:r>
        <w:rPr>
          <w:rFonts w:ascii="宋体" w:hAnsi="宋体" w:eastAsia="宋体"/>
          <w:color w:val="000000" w:themeColor="text1"/>
          <w:sz w:val="24"/>
          <w14:textFill>
            <w14:solidFill>
              <w14:schemeClr w14:val="tx1"/>
            </w14:solidFill>
          </w14:textFill>
        </w:rPr>
        <w:t>主要中标标的的名称、</w:t>
      </w:r>
      <w:r>
        <w:rPr>
          <w:rFonts w:hint="eastAsia" w:ascii="宋体" w:hAnsi="宋体" w:eastAsia="宋体"/>
          <w:color w:val="000000" w:themeColor="text1"/>
          <w:sz w:val="24"/>
          <w14:textFill>
            <w14:solidFill>
              <w14:schemeClr w14:val="tx1"/>
            </w14:solidFill>
          </w14:textFill>
        </w:rPr>
        <w:t>服务范围</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服务要求</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服务时间</w:t>
      </w:r>
      <w:r>
        <w:rPr>
          <w:rFonts w:ascii="宋体" w:hAnsi="宋体" w:eastAsia="宋体"/>
          <w:color w:val="000000" w:themeColor="text1"/>
          <w:sz w:val="24"/>
          <w14:textFill>
            <w14:solidFill>
              <w14:schemeClr w14:val="tx1"/>
            </w14:solidFill>
          </w14:textFill>
        </w:rPr>
        <w:t>、</w:t>
      </w:r>
      <w:r>
        <w:rPr>
          <w:rFonts w:hint="eastAsia" w:ascii="宋体" w:hAnsi="宋体" w:eastAsia="宋体"/>
          <w:color w:val="000000" w:themeColor="text1"/>
          <w:sz w:val="24"/>
          <w14:textFill>
            <w14:solidFill>
              <w14:schemeClr w14:val="tx1"/>
            </w14:solidFill>
          </w14:textFill>
        </w:rPr>
        <w:t>服务标准</w:t>
      </w:r>
      <w:r>
        <w:rPr>
          <w:rFonts w:ascii="宋体" w:hAnsi="宋体" w:eastAsia="宋体"/>
          <w:color w:val="000000" w:themeColor="text1"/>
          <w:sz w:val="24"/>
          <w14:textFill>
            <w14:solidFill>
              <w14:schemeClr w14:val="tx1"/>
            </w14:solidFill>
          </w14:textFill>
        </w:rPr>
        <w:t>，中标公告期限</w:t>
      </w:r>
      <w:r>
        <w:rPr>
          <w:rFonts w:asciiTheme="minorEastAsia" w:hAnsiTheme="minorEastAsia" w:eastAsiaTheme="minorEastAsia"/>
          <w:color w:val="000000" w:themeColor="text1"/>
          <w:sz w:val="24"/>
          <w14:textFill>
            <w14:solidFill>
              <w14:schemeClr w14:val="tx1"/>
            </w14:solidFill>
          </w14:textFill>
        </w:rPr>
        <w:t>，中标公告期限以及</w:t>
      </w:r>
      <w:r>
        <w:rPr>
          <w:rFonts w:hint="eastAsia" w:asciiTheme="minorEastAsia" w:hAnsiTheme="minorEastAsia" w:eastAsiaTheme="minorEastAsia"/>
          <w:color w:val="000000" w:themeColor="text1"/>
          <w:sz w:val="24"/>
          <w:u w:val="single"/>
          <w14:textFill>
            <w14:solidFill>
              <w14:schemeClr w14:val="tx1"/>
            </w14:solidFill>
          </w14:textFill>
        </w:rPr>
        <w:t>投标人须知前附表</w:t>
      </w:r>
      <w:r>
        <w:rPr>
          <w:rFonts w:asciiTheme="minorEastAsia" w:hAnsiTheme="minorEastAsia" w:eastAsiaTheme="minorEastAsia"/>
          <w:color w:val="000000" w:themeColor="text1"/>
          <w:sz w:val="24"/>
          <w14:textFill>
            <w14:solidFill>
              <w14:schemeClr w14:val="tx1"/>
            </w14:solidFill>
          </w14:textFill>
        </w:rPr>
        <w:t>中约定进行公告的内容。中标公告期限为1个工作日。</w:t>
      </w:r>
    </w:p>
    <w:p w14:paraId="29CA558F">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中标通知书</w:t>
      </w:r>
    </w:p>
    <w:p w14:paraId="524128D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.1采购代理机构</w:t>
      </w:r>
      <w:r>
        <w:rPr>
          <w:rFonts w:ascii="宋体" w:hAnsi="宋体" w:eastAsia="宋体"/>
          <w:sz w:val="24"/>
          <w:highlight w:val="none"/>
        </w:rPr>
        <w:t>发布</w:t>
      </w:r>
      <w:r>
        <w:rPr>
          <w:rFonts w:asciiTheme="minorEastAsia" w:hAnsiTheme="minorEastAsia" w:eastAsiaTheme="minorEastAsia"/>
          <w:sz w:val="24"/>
          <w:highlight w:val="none"/>
        </w:rPr>
        <w:t>中标结果公告</w:t>
      </w:r>
      <w:r>
        <w:rPr>
          <w:rFonts w:hint="eastAsia" w:asciiTheme="minorEastAsia" w:hAnsiTheme="minorEastAsia" w:eastAsiaTheme="minorEastAsia"/>
          <w:iCs/>
          <w:sz w:val="24"/>
          <w:highlight w:val="none"/>
        </w:rPr>
        <w:t>的</w:t>
      </w:r>
      <w:r>
        <w:rPr>
          <w:rFonts w:asciiTheme="minorEastAsia" w:hAnsiTheme="minorEastAsia" w:eastAsiaTheme="minorEastAsia"/>
          <w:sz w:val="24"/>
          <w:highlight w:val="none"/>
        </w:rPr>
        <w:t>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形式向中标人发出中标通知书。</w:t>
      </w:r>
      <w:r>
        <w:rPr>
          <w:rFonts w:hint="eastAsia" w:asciiTheme="minorEastAsia" w:hAnsiTheme="minorEastAsia" w:eastAsiaTheme="minorEastAsia"/>
          <w:sz w:val="24"/>
          <w:highlight w:val="none"/>
        </w:rPr>
        <w:t>中标通知书须加盖采购人、采购代理机构公章后，方可发出。</w:t>
      </w:r>
    </w:p>
    <w:p w14:paraId="28C97EE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.2中标通知书对采购人和中标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具有同等法律效力。中标通知书发出以后，采购人改变中标结果或者中标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放弃中标，应当承担相应的法律责任。</w:t>
      </w:r>
    </w:p>
    <w:p w14:paraId="55171F5D">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.3中标通知书是</w:t>
      </w:r>
      <w:r>
        <w:rPr>
          <w:rFonts w:ascii="宋体" w:hAnsi="宋体" w:eastAsia="宋体"/>
          <w:sz w:val="24"/>
          <w:highlight w:val="none"/>
        </w:rPr>
        <w:t>合同</w:t>
      </w:r>
      <w:r>
        <w:rPr>
          <w:rFonts w:asciiTheme="minorEastAsia" w:hAnsiTheme="minorEastAsia" w:eastAsiaTheme="minorEastAsia"/>
          <w:sz w:val="24"/>
          <w:highlight w:val="none"/>
        </w:rPr>
        <w:t>的组成部分。</w:t>
      </w:r>
    </w:p>
    <w:p w14:paraId="731B27BF">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告知招标结果</w:t>
      </w:r>
    </w:p>
    <w:p w14:paraId="73D0B8F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在公告</w:t>
      </w:r>
      <w:r>
        <w:rPr>
          <w:rFonts w:asciiTheme="minorEastAsia" w:hAnsiTheme="minorEastAsia" w:eastAsiaTheme="minorEastAsia"/>
          <w:sz w:val="24"/>
          <w:highlight w:val="none"/>
        </w:rPr>
        <w:t>中标结果的同时，采购代理机构同时以</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hint="eastAsia" w:asciiTheme="minorEastAsia" w:hAnsiTheme="minorEastAsia" w:eastAsiaTheme="minorEastAsia"/>
          <w:sz w:val="24"/>
          <w:highlight w:val="none"/>
        </w:rPr>
        <w:t>告知未通过资格审查的投标人未通过的原因；采用综合评分法评审的，还将告知未中标人本人的评审得分和排序。</w:t>
      </w:r>
    </w:p>
    <w:p w14:paraId="295552EC">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履约保证金</w:t>
      </w:r>
    </w:p>
    <w:p w14:paraId="495AE43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26.1中标人应按照</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规定缴纳履约保证金。</w:t>
      </w:r>
    </w:p>
    <w:p w14:paraId="3EF168C5">
      <w:pPr>
        <w:spacing w:line="360" w:lineRule="auto"/>
        <w:ind w:firstLine="435"/>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26.</w:t>
      </w:r>
      <w:r>
        <w:rPr>
          <w:rFonts w:asciiTheme="minorEastAsia" w:hAnsiTheme="minorEastAsia" w:eastAsiaTheme="minorEastAsia"/>
          <w:sz w:val="24"/>
          <w:highlight w:val="none"/>
        </w:rPr>
        <w:t>2</w:t>
      </w:r>
      <w:r>
        <w:rPr>
          <w:rFonts w:hint="eastAsia" w:ascii="宋体" w:hAnsi="宋体" w:eastAsia="宋体"/>
          <w:sz w:val="24"/>
          <w:highlight w:val="none"/>
        </w:rPr>
        <w:t>如果</w:t>
      </w:r>
      <w:r>
        <w:rPr>
          <w:rFonts w:hint="eastAsia" w:asciiTheme="minorEastAsia" w:hAnsiTheme="minorEastAsia" w:eastAsiaTheme="minorEastAsia"/>
          <w:sz w:val="24"/>
          <w:highlight w:val="none"/>
        </w:rPr>
        <w:t>中标人没有按照上述履约保证金的规定执行，将视为放弃中标资格。在此情况下，采购人可</w:t>
      </w:r>
      <w:r>
        <w:rPr>
          <w:rFonts w:asciiTheme="minorEastAsia" w:hAnsiTheme="minorEastAsia" w:eastAsiaTheme="minorEastAsia"/>
          <w:sz w:val="24"/>
          <w:highlight w:val="none"/>
        </w:rPr>
        <w:t>确定下一</w:t>
      </w:r>
      <w:r>
        <w:rPr>
          <w:rFonts w:hint="eastAsia" w:ascii="宋体" w:hAnsi="宋体" w:eastAsia="宋体"/>
          <w:sz w:val="24"/>
          <w:highlight w:val="none"/>
        </w:rPr>
        <w:t>中标</w:t>
      </w:r>
      <w:r>
        <w:rPr>
          <w:rFonts w:hint="eastAsia" w:asciiTheme="minorEastAsia" w:hAnsiTheme="minorEastAsia" w:eastAsiaTheme="minorEastAsia"/>
          <w:sz w:val="24"/>
          <w:highlight w:val="none"/>
        </w:rPr>
        <w:t>候选</w:t>
      </w:r>
      <w:r>
        <w:rPr>
          <w:rFonts w:asciiTheme="minorEastAsia" w:hAnsiTheme="minorEastAsia" w:eastAsiaTheme="minorEastAsia"/>
          <w:sz w:val="24"/>
          <w:highlight w:val="none"/>
        </w:rPr>
        <w:t>人为中标</w:t>
      </w:r>
      <w:r>
        <w:rPr>
          <w:rFonts w:hint="eastAsia" w:asciiTheme="minorEastAsia" w:hAnsiTheme="minorEastAsia" w:eastAsiaTheme="minorEastAsia"/>
          <w:sz w:val="24"/>
          <w:highlight w:val="none"/>
        </w:rPr>
        <w:t>人</w:t>
      </w:r>
      <w:r>
        <w:rPr>
          <w:rFonts w:asciiTheme="minorEastAsia" w:hAnsiTheme="minorEastAsia" w:eastAsiaTheme="minorEastAsia"/>
          <w:sz w:val="24"/>
          <w:highlight w:val="none"/>
        </w:rPr>
        <w:t>，也可以重新开展采购活动。</w:t>
      </w:r>
    </w:p>
    <w:p w14:paraId="4E4D2B27">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签订合同</w:t>
      </w:r>
    </w:p>
    <w:p w14:paraId="017D4BFE">
      <w:pPr>
        <w:spacing w:line="360" w:lineRule="auto"/>
        <w:ind w:firstLine="435"/>
        <w:rPr>
          <w:rFonts w:hint="eastAsia" w:ascii="宋体" w:hAnsi="宋体" w:eastAsia="宋体"/>
          <w:sz w:val="24"/>
          <w:highlight w:val="none"/>
        </w:rPr>
      </w:pPr>
      <w:r>
        <w:rPr>
          <w:rFonts w:hint="eastAsia" w:ascii="宋体" w:hAnsi="宋体" w:eastAsia="宋体"/>
          <w:sz w:val="24"/>
          <w:highlight w:val="none"/>
        </w:rPr>
        <w:t>27.1</w:t>
      </w:r>
      <w:r>
        <w:rPr>
          <w:rFonts w:hint="eastAsia" w:ascii="宋体" w:hAnsi="宋体" w:eastAsia="宋体" w:cs="宋体"/>
          <w:sz w:val="24"/>
          <w:szCs w:val="24"/>
          <w:highlight w:val="none"/>
        </w:rPr>
        <w:t>采购人与中标人应当按照</w:t>
      </w:r>
      <w:r>
        <w:rPr>
          <w:rFonts w:hint="eastAsia" w:ascii="宋体" w:hAnsi="宋体" w:eastAsia="宋体" w:cs="宋体"/>
          <w:sz w:val="24"/>
          <w:szCs w:val="24"/>
          <w:highlight w:val="none"/>
          <w:u w:val="single"/>
        </w:rPr>
        <w:t>投标人须知前附表</w:t>
      </w:r>
      <w:r>
        <w:rPr>
          <w:rFonts w:hint="eastAsia" w:ascii="宋体" w:hAnsi="宋体" w:eastAsia="宋体" w:cs="宋体"/>
          <w:sz w:val="24"/>
          <w:szCs w:val="24"/>
          <w:highlight w:val="none"/>
        </w:rPr>
        <w:t>规定的时间内完成政府采购合同签订及合同公告。</w:t>
      </w:r>
    </w:p>
    <w:p w14:paraId="3ED8F410">
      <w:pPr>
        <w:spacing w:line="360" w:lineRule="auto"/>
        <w:ind w:firstLine="435"/>
        <w:rPr>
          <w:rFonts w:hint="eastAsia" w:ascii="宋体" w:hAnsi="宋体" w:eastAsia="宋体"/>
          <w:sz w:val="24"/>
          <w:highlight w:val="none"/>
        </w:rPr>
      </w:pPr>
      <w:r>
        <w:rPr>
          <w:rFonts w:hint="eastAsia" w:ascii="宋体" w:hAnsi="宋体" w:eastAsia="宋体"/>
          <w:sz w:val="24"/>
          <w:highlight w:val="none"/>
        </w:rPr>
        <w:t>27.2招标文件、中标人的投标文件及其澄清文件等，均为签订合同的依据。</w:t>
      </w:r>
    </w:p>
    <w:p w14:paraId="2417EAC6">
      <w:pPr>
        <w:spacing w:line="360" w:lineRule="auto"/>
        <w:ind w:firstLine="435"/>
        <w:rPr>
          <w:rFonts w:hint="eastAsia" w:ascii="宋体" w:hAnsi="宋体" w:eastAsia="宋体"/>
          <w:sz w:val="24"/>
          <w:highlight w:val="none"/>
        </w:rPr>
      </w:pPr>
      <w:r>
        <w:rPr>
          <w:rFonts w:hint="eastAsia" w:ascii="宋体" w:hAnsi="宋体" w:eastAsia="宋体"/>
          <w:sz w:val="24"/>
          <w:highlight w:val="none"/>
        </w:rPr>
        <w:t>27.3中</w:t>
      </w:r>
      <w:r>
        <w:rPr>
          <w:rFonts w:ascii="宋体" w:hAnsi="宋体" w:eastAsia="宋体"/>
          <w:sz w:val="24"/>
          <w:highlight w:val="none"/>
        </w:rPr>
        <w:t>标</w:t>
      </w:r>
      <w:r>
        <w:rPr>
          <w:rFonts w:hint="eastAsia" w:ascii="宋体" w:hAnsi="宋体" w:eastAsia="宋体"/>
          <w:sz w:val="24"/>
          <w:highlight w:val="none"/>
        </w:rPr>
        <w:t>人</w:t>
      </w:r>
      <w:r>
        <w:rPr>
          <w:rFonts w:ascii="宋体" w:hAnsi="宋体" w:eastAsia="宋体"/>
          <w:sz w:val="24"/>
          <w:highlight w:val="none"/>
        </w:rPr>
        <w:t>拒绝与采购人签订合同的，采购人可以按照评审报告推荐的中标候选人</w:t>
      </w:r>
      <w:r>
        <w:rPr>
          <w:rFonts w:hint="eastAsia" w:ascii="宋体" w:hAnsi="宋体" w:eastAsia="宋体"/>
          <w:sz w:val="24"/>
          <w:highlight w:val="none"/>
        </w:rPr>
        <w:t>名单</w:t>
      </w:r>
      <w:r>
        <w:rPr>
          <w:rFonts w:ascii="宋体" w:hAnsi="宋体" w:eastAsia="宋体"/>
          <w:sz w:val="24"/>
          <w:highlight w:val="none"/>
        </w:rPr>
        <w:t>排序</w:t>
      </w:r>
      <w:r>
        <w:rPr>
          <w:rFonts w:hint="eastAsia" w:ascii="宋体" w:hAnsi="宋体" w:eastAsia="宋体"/>
          <w:sz w:val="24"/>
          <w:highlight w:val="none"/>
        </w:rPr>
        <w:t>，</w:t>
      </w:r>
      <w:r>
        <w:rPr>
          <w:rFonts w:ascii="宋体" w:hAnsi="宋体" w:eastAsia="宋体"/>
          <w:sz w:val="24"/>
          <w:highlight w:val="none"/>
        </w:rPr>
        <w:t>确定下一</w:t>
      </w:r>
      <w:r>
        <w:rPr>
          <w:rFonts w:hint="eastAsia" w:ascii="宋体" w:hAnsi="宋体" w:eastAsia="宋体"/>
          <w:sz w:val="24"/>
          <w:highlight w:val="none"/>
        </w:rPr>
        <w:t>中标候选</w:t>
      </w:r>
      <w:r>
        <w:rPr>
          <w:rFonts w:ascii="宋体" w:hAnsi="宋体" w:eastAsia="宋体"/>
          <w:sz w:val="24"/>
          <w:highlight w:val="none"/>
        </w:rPr>
        <w:t>人为中标</w:t>
      </w:r>
      <w:r>
        <w:rPr>
          <w:rFonts w:hint="eastAsia" w:ascii="宋体" w:hAnsi="宋体" w:eastAsia="宋体"/>
          <w:sz w:val="24"/>
          <w:highlight w:val="none"/>
        </w:rPr>
        <w:t>人</w:t>
      </w:r>
      <w:r>
        <w:rPr>
          <w:rFonts w:ascii="宋体" w:hAnsi="宋体" w:eastAsia="宋体"/>
          <w:sz w:val="24"/>
          <w:highlight w:val="none"/>
        </w:rPr>
        <w:t>，也可以重新开展政府采购活动。</w:t>
      </w:r>
    </w:p>
    <w:p w14:paraId="5A1AADD2">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28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代理费用</w:t>
      </w:r>
    </w:p>
    <w:p w14:paraId="4C8B3265">
      <w:pPr>
        <w:spacing w:line="360" w:lineRule="auto"/>
        <w:ind w:firstLine="435"/>
        <w:rPr>
          <w:rFonts w:hint="eastAsia"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w:t>
      </w:r>
      <w:r>
        <w:rPr>
          <w:rFonts w:hint="eastAsia" w:ascii="宋体" w:hAnsi="宋体" w:eastAsia="宋体"/>
          <w:sz w:val="24"/>
          <w:highlight w:val="none"/>
        </w:rPr>
        <w:t>本项目代理费用的收取按</w:t>
      </w:r>
      <w:r>
        <w:rPr>
          <w:rFonts w:hint="eastAsia" w:asciiTheme="minorEastAsia" w:hAnsiTheme="minorEastAsia" w:eastAsiaTheme="minorEastAsia"/>
          <w:sz w:val="24"/>
          <w:highlight w:val="none"/>
          <w:u w:val="single"/>
        </w:rPr>
        <w:t>投标人须知前附表的</w:t>
      </w:r>
      <w:r>
        <w:rPr>
          <w:rFonts w:hint="eastAsia" w:ascii="宋体" w:hAnsi="宋体" w:eastAsia="宋体"/>
          <w:sz w:val="24"/>
          <w:highlight w:val="none"/>
        </w:rPr>
        <w:t>规定执行</w:t>
      </w:r>
      <w:r>
        <w:rPr>
          <w:rFonts w:hint="eastAsia" w:asciiTheme="minorEastAsia" w:hAnsiTheme="minorEastAsia" w:eastAsiaTheme="minorEastAsia"/>
          <w:sz w:val="24"/>
          <w:highlight w:val="none"/>
        </w:rPr>
        <w:t>。</w:t>
      </w:r>
    </w:p>
    <w:p w14:paraId="1319361E">
      <w:pPr>
        <w:spacing w:line="360" w:lineRule="auto"/>
        <w:ind w:firstLine="437"/>
        <w:outlineLvl w:val="2"/>
        <w:rPr>
          <w:rFonts w:hint="eastAsia" w:asciiTheme="minorEastAsia" w:hAnsiTheme="minorEastAsia" w:eastAsiaTheme="minorEastAsia"/>
          <w:b/>
          <w:sz w:val="24"/>
          <w:highlight w:val="none"/>
        </w:rPr>
      </w:pPr>
      <w:bookmarkStart w:id="39" w:name="_Toc518923100"/>
      <w:bookmarkStart w:id="40" w:name="_Toc2583661"/>
      <w:r>
        <w:rPr>
          <w:rFonts w:hint="eastAsia" w:asciiTheme="minorEastAsia" w:hAnsiTheme="minorEastAsia" w:eastAsiaTheme="minorEastAsia"/>
          <w:b/>
          <w:sz w:val="24"/>
          <w:highlight w:val="none"/>
        </w:rPr>
        <w:t>29.廉洁自律</w:t>
      </w:r>
      <w:r>
        <w:rPr>
          <w:rFonts w:asciiTheme="minorEastAsia" w:hAnsiTheme="minorEastAsia" w:eastAsiaTheme="minorEastAsia"/>
          <w:b/>
          <w:sz w:val="24"/>
          <w:highlight w:val="none"/>
        </w:rPr>
        <w:t>规定</w:t>
      </w:r>
      <w:bookmarkEnd w:id="39"/>
      <w:bookmarkEnd w:id="40"/>
    </w:p>
    <w:p w14:paraId="493DE62E">
      <w:pPr>
        <w:spacing w:line="360" w:lineRule="auto"/>
        <w:ind w:firstLine="435"/>
        <w:rPr>
          <w:rFonts w:hint="eastAsia" w:ascii="宋体" w:hAnsi="宋体" w:eastAsia="宋体"/>
          <w:sz w:val="24"/>
          <w:highlight w:val="none"/>
        </w:rPr>
      </w:pPr>
      <w:r>
        <w:rPr>
          <w:rFonts w:hint="eastAsia" w:ascii="宋体" w:hAnsi="宋体" w:eastAsia="宋体"/>
          <w:sz w:val="24"/>
          <w:highlight w:val="none"/>
        </w:rPr>
        <w:t>29.1采购代理机构</w:t>
      </w:r>
      <w:r>
        <w:rPr>
          <w:rFonts w:ascii="宋体" w:hAnsi="宋体" w:eastAsia="宋体"/>
          <w:sz w:val="24"/>
          <w:highlight w:val="none"/>
        </w:rPr>
        <w:t>工作人员</w:t>
      </w:r>
      <w:r>
        <w:rPr>
          <w:rFonts w:hint="eastAsia" w:ascii="宋体" w:hAnsi="宋体" w:eastAsia="宋体"/>
          <w:sz w:val="24"/>
          <w:highlight w:val="none"/>
        </w:rPr>
        <w:t>不得以不正当手段获取政府采购代理业务，不得与采购人、供应商恶意串通。</w:t>
      </w:r>
    </w:p>
    <w:p w14:paraId="66B43EE9">
      <w:pPr>
        <w:spacing w:line="360" w:lineRule="auto"/>
        <w:ind w:firstLine="435"/>
        <w:rPr>
          <w:rFonts w:hint="eastAsia" w:ascii="宋体" w:hAnsi="宋体" w:eastAsia="宋体"/>
          <w:sz w:val="24"/>
          <w:highlight w:val="none"/>
        </w:rPr>
      </w:pPr>
      <w:r>
        <w:rPr>
          <w:rFonts w:hint="eastAsia" w:ascii="宋体" w:hAnsi="宋体" w:eastAsia="宋体"/>
          <w:sz w:val="24"/>
          <w:highlight w:val="none"/>
        </w:rPr>
        <w:t>29.</w:t>
      </w:r>
      <w:r>
        <w:rPr>
          <w:rFonts w:ascii="宋体" w:hAnsi="宋体" w:eastAsia="宋体"/>
          <w:sz w:val="24"/>
          <w:highlight w:val="none"/>
        </w:rPr>
        <w:t>2</w:t>
      </w:r>
      <w:r>
        <w:rPr>
          <w:rFonts w:hint="eastAsia" w:ascii="宋体" w:hAnsi="宋体" w:eastAsia="宋体"/>
          <w:sz w:val="24"/>
          <w:highlight w:val="none"/>
        </w:rPr>
        <w:t>采购代理机构工作人员不得接受采购人或者供应商组织的宴请、旅游、娱乐，不得收受礼品、现金、有价证券等，不得向采购人或者供应商报销应当由个人承担的费用。</w:t>
      </w:r>
    </w:p>
    <w:p w14:paraId="2BDE666F">
      <w:pPr>
        <w:spacing w:line="360" w:lineRule="auto"/>
        <w:ind w:firstLine="437"/>
        <w:outlineLvl w:val="2"/>
        <w:rPr>
          <w:rFonts w:hint="eastAsia" w:asciiTheme="minorEastAsia" w:hAnsiTheme="minorEastAsia" w:eastAsiaTheme="minorEastAsia"/>
          <w:b/>
          <w:sz w:val="24"/>
          <w:highlight w:val="none"/>
        </w:rPr>
      </w:pPr>
      <w:bookmarkStart w:id="41" w:name="_Toc518923101"/>
      <w:bookmarkStart w:id="42" w:name="_Toc2583662"/>
      <w:r>
        <w:rPr>
          <w:rFonts w:hint="eastAsia" w:asciiTheme="minorEastAsia" w:hAnsiTheme="minorEastAsia" w:eastAsiaTheme="minorEastAsia"/>
          <w:b/>
          <w:sz w:val="24"/>
          <w:highlight w:val="none"/>
        </w:rPr>
        <w:t>30.人员回避</w:t>
      </w:r>
      <w:bookmarkEnd w:id="41"/>
      <w:bookmarkEnd w:id="42"/>
    </w:p>
    <w:p w14:paraId="0E0C787C">
      <w:pPr>
        <w:spacing w:line="360" w:lineRule="auto"/>
        <w:ind w:firstLine="435"/>
        <w:rPr>
          <w:rFonts w:hint="eastAsia" w:ascii="仿宋_GB2312" w:hAnsi="宋体" w:eastAsia="仿宋_GB2312"/>
          <w:sz w:val="24"/>
          <w:highlight w:val="none"/>
        </w:rPr>
      </w:pPr>
      <w:r>
        <w:rPr>
          <w:rFonts w:hint="eastAsia" w:ascii="宋体" w:hAnsi="宋体" w:eastAsia="宋体"/>
          <w:sz w:val="24"/>
          <w:highlight w:val="none"/>
        </w:rPr>
        <w:t>投标人</w:t>
      </w:r>
      <w:r>
        <w:rPr>
          <w:rFonts w:ascii="宋体" w:hAnsi="宋体" w:eastAsia="宋体"/>
          <w:sz w:val="24"/>
          <w:highlight w:val="none"/>
        </w:rPr>
        <w:t>认为采购人员</w:t>
      </w:r>
      <w:r>
        <w:rPr>
          <w:rFonts w:hint="eastAsia" w:ascii="宋体" w:hAnsi="宋体" w:eastAsia="宋体"/>
          <w:sz w:val="24"/>
          <w:highlight w:val="none"/>
        </w:rPr>
        <w:t>及其</w:t>
      </w:r>
      <w:r>
        <w:rPr>
          <w:rFonts w:ascii="宋体" w:hAnsi="宋体" w:eastAsia="宋体"/>
          <w:sz w:val="24"/>
          <w:highlight w:val="none"/>
        </w:rPr>
        <w:t>相关人员有</w:t>
      </w:r>
      <w:r>
        <w:rPr>
          <w:rFonts w:hint="eastAsia" w:ascii="宋体" w:hAnsi="宋体" w:eastAsia="宋体"/>
          <w:sz w:val="24"/>
          <w:highlight w:val="none"/>
        </w:rPr>
        <w:t>法律</w:t>
      </w:r>
      <w:r>
        <w:rPr>
          <w:rFonts w:ascii="宋体" w:hAnsi="宋体" w:eastAsia="宋体"/>
          <w:sz w:val="24"/>
          <w:highlight w:val="none"/>
        </w:rPr>
        <w:t>法规所列与其他供应商</w:t>
      </w:r>
      <w:r>
        <w:rPr>
          <w:rFonts w:hint="eastAsia" w:ascii="宋体" w:hAnsi="宋体" w:eastAsia="宋体"/>
          <w:sz w:val="24"/>
          <w:highlight w:val="none"/>
        </w:rPr>
        <w:t>有</w:t>
      </w:r>
      <w:r>
        <w:rPr>
          <w:rFonts w:ascii="宋体" w:hAnsi="宋体" w:eastAsia="宋体"/>
          <w:sz w:val="24"/>
          <w:highlight w:val="none"/>
        </w:rPr>
        <w:t>利害关系的，可以向</w:t>
      </w:r>
      <w:r>
        <w:rPr>
          <w:rFonts w:hint="eastAsia" w:ascii="宋体" w:hAnsi="宋体" w:eastAsia="宋体"/>
          <w:sz w:val="24"/>
          <w:highlight w:val="none"/>
        </w:rPr>
        <w:t>采购人或</w:t>
      </w:r>
      <w:r>
        <w:rPr>
          <w:rFonts w:ascii="宋体" w:hAnsi="宋体" w:eastAsia="宋体"/>
          <w:sz w:val="24"/>
          <w:highlight w:val="none"/>
        </w:rPr>
        <w:t>采购代理机构书面提出回避申请，并说明理由。</w:t>
      </w:r>
    </w:p>
    <w:p w14:paraId="0F76DD74">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质疑的提出与接收</w:t>
      </w:r>
    </w:p>
    <w:p w14:paraId="5E1A6BA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6A0CE92">
      <w:pPr>
        <w:spacing w:line="360" w:lineRule="auto"/>
        <w:ind w:firstLine="435"/>
        <w:rPr>
          <w:rFonts w:hint="eastAsia" w:ascii="宋体" w:hAnsi="宋体" w:eastAsia="宋体"/>
          <w:sz w:val="24"/>
          <w:highlight w:val="none"/>
        </w:rPr>
      </w:pPr>
      <w:r>
        <w:rPr>
          <w:rFonts w:hint="eastAsia" w:ascii="宋体" w:hAnsi="宋体" w:eastAsia="宋体"/>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522175E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31.3采购代理机构质疑函接收部门、联系电话和通讯地址，见</w:t>
      </w:r>
      <w:r>
        <w:rPr>
          <w:rFonts w:hint="eastAsia" w:ascii="宋体" w:hAnsi="宋体" w:eastAsia="宋体"/>
          <w:sz w:val="24"/>
          <w:highlight w:val="none"/>
          <w:u w:val="single"/>
        </w:rPr>
        <w:t>投标人须知前附表</w:t>
      </w:r>
      <w:r>
        <w:rPr>
          <w:rFonts w:hint="eastAsia" w:ascii="宋体" w:hAnsi="宋体" w:eastAsia="宋体"/>
          <w:sz w:val="24"/>
          <w:highlight w:val="none"/>
        </w:rPr>
        <w:t>。</w:t>
      </w:r>
    </w:p>
    <w:p w14:paraId="68B507F7">
      <w:pPr>
        <w:spacing w:line="360" w:lineRule="auto"/>
        <w:ind w:firstLine="435"/>
        <w:rPr>
          <w:rFonts w:hint="eastAsia" w:ascii="宋体" w:hAnsi="宋体" w:eastAsia="宋体"/>
          <w:sz w:val="24"/>
          <w:highlight w:val="none"/>
        </w:rPr>
      </w:pPr>
      <w:r>
        <w:rPr>
          <w:rFonts w:hint="eastAsia" w:ascii="宋体" w:hAnsi="宋体" w:eastAsia="宋体"/>
          <w:sz w:val="24"/>
          <w:highlight w:val="none"/>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03FF81E6">
      <w:pPr>
        <w:spacing w:line="360" w:lineRule="auto"/>
        <w:ind w:firstLine="437"/>
        <w:outlineLvl w:val="2"/>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32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需要补充的其他内容</w:t>
      </w:r>
    </w:p>
    <w:p w14:paraId="7C270EF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需要补充的其他内容，见</w:t>
      </w:r>
      <w:r>
        <w:rPr>
          <w:rFonts w:hint="eastAsia" w:asciiTheme="minorEastAsia" w:hAnsiTheme="minorEastAsia" w:eastAsiaTheme="minorEastAsia"/>
          <w:sz w:val="24"/>
          <w:highlight w:val="none"/>
          <w:u w:val="single"/>
        </w:rPr>
        <w:t>投标人须知前附表</w:t>
      </w:r>
      <w:r>
        <w:rPr>
          <w:rFonts w:hint="eastAsia" w:asciiTheme="minorEastAsia" w:hAnsiTheme="minorEastAsia" w:eastAsiaTheme="minorEastAsia"/>
          <w:sz w:val="24"/>
          <w:highlight w:val="none"/>
        </w:rPr>
        <w:t>。</w:t>
      </w:r>
    </w:p>
    <w:p w14:paraId="0177408E">
      <w:pPr>
        <w:widowControl/>
        <w:jc w:val="left"/>
        <w:rPr>
          <w:rFonts w:hint="eastAsia"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56F43B10">
      <w:pPr>
        <w:spacing w:line="360" w:lineRule="auto"/>
        <w:jc w:val="center"/>
        <w:outlineLvl w:val="0"/>
        <w:rPr>
          <w:rFonts w:hint="eastAsia" w:asciiTheme="minorEastAsia" w:hAnsiTheme="minorEastAsia" w:eastAsiaTheme="minorEastAsia"/>
          <w:b/>
          <w:sz w:val="28"/>
          <w:highlight w:val="none"/>
        </w:rPr>
      </w:pPr>
      <w:bookmarkStart w:id="43" w:name="_Toc10891"/>
      <w:r>
        <w:rPr>
          <w:rFonts w:hint="eastAsia" w:asciiTheme="minorEastAsia" w:hAnsiTheme="minorEastAsia" w:eastAsiaTheme="minorEastAsia"/>
          <w:b/>
          <w:sz w:val="28"/>
          <w:highlight w:val="none"/>
        </w:rPr>
        <w:t>第三章  采购需求</w:t>
      </w:r>
      <w:bookmarkEnd w:id="43"/>
    </w:p>
    <w:p w14:paraId="6747A9C6">
      <w:pPr>
        <w:spacing w:line="360" w:lineRule="auto"/>
        <w:ind w:firstLine="43"/>
        <w:rPr>
          <w:rFonts w:hint="eastAsia"/>
          <w:color w:val="000000" w:themeColor="text1"/>
          <w14:textFill>
            <w14:solidFill>
              <w14:schemeClr w14:val="tx1"/>
            </w14:solidFill>
          </w14:textFill>
        </w:rPr>
      </w:pPr>
      <w:bookmarkStart w:id="44" w:name="_Toc2554"/>
      <w:bookmarkStart w:id="45" w:name="_Toc32151"/>
      <w:bookmarkStart w:id="46" w:name="_Toc4328"/>
      <w:r>
        <w:rPr>
          <w:rFonts w:hint="eastAsia" w:asciiTheme="minorEastAsia" w:hAnsiTheme="minorEastAsia" w:eastAsiaTheme="minorEastAsia"/>
          <w:color w:val="000000" w:themeColor="text1"/>
          <w:sz w:val="24"/>
          <w14:textFill>
            <w14:solidFill>
              <w14:schemeClr w14:val="tx1"/>
            </w14:solidFill>
          </w14:textFill>
        </w:rPr>
        <w:t>1.</w:t>
      </w:r>
      <w:r>
        <w:rPr>
          <w:rFonts w:hint="eastAsia" w:ascii="宋体" w:hAnsi="宋体" w:eastAsia="宋体"/>
          <w:color w:val="000000" w:themeColor="text1"/>
          <w:sz w:val="24"/>
          <w:szCs w:val="18"/>
          <w14:textFill>
            <w14:solidFill>
              <w14:schemeClr w14:val="tx1"/>
            </w14:solidFill>
          </w14:textFill>
        </w:rPr>
        <w:t>如采购人允许采用分包方式履行合同的，应当明确可以分包履行的相关内容。</w:t>
      </w:r>
    </w:p>
    <w:p w14:paraId="4348F7A8">
      <w:pPr>
        <w:spacing w:line="360" w:lineRule="auto"/>
        <w:ind w:firstLine="43"/>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一、采购需求前附表</w:t>
      </w:r>
      <w:bookmarkEnd w:id="44"/>
      <w:bookmarkEnd w:id="45"/>
    </w:p>
    <w:tbl>
      <w:tblPr>
        <w:tblStyle w:val="26"/>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93"/>
        <w:gridCol w:w="5802"/>
      </w:tblGrid>
      <w:tr w14:paraId="0C81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4" w:type="pct"/>
            <w:vAlign w:val="center"/>
          </w:tcPr>
          <w:p w14:paraId="6151C2FE">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
                <w:color w:val="000000" w:themeColor="text1"/>
                <w:kern w:val="2"/>
                <w14:textFill>
                  <w14:solidFill>
                    <w14:schemeClr w14:val="tx1"/>
                  </w14:solidFill>
                </w14:textFill>
              </w:rPr>
            </w:pPr>
            <w:r>
              <w:rPr>
                <w:rFonts w:hint="eastAsia" w:ascii="宋体" w:hAnsi="宋体" w:eastAsia="宋体"/>
                <w:b/>
                <w:color w:val="000000" w:themeColor="text1"/>
                <w:kern w:val="2"/>
                <w14:textFill>
                  <w14:solidFill>
                    <w14:schemeClr w14:val="tx1"/>
                  </w14:solidFill>
                </w14:textFill>
              </w:rPr>
              <w:t>序号</w:t>
            </w:r>
          </w:p>
        </w:tc>
        <w:tc>
          <w:tcPr>
            <w:tcW w:w="1080" w:type="pct"/>
            <w:vAlign w:val="center"/>
          </w:tcPr>
          <w:p w14:paraId="18B277BF">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条款名称</w:t>
            </w:r>
          </w:p>
        </w:tc>
        <w:tc>
          <w:tcPr>
            <w:tcW w:w="3494" w:type="pct"/>
            <w:vAlign w:val="center"/>
          </w:tcPr>
          <w:p w14:paraId="11A89C54">
            <w:pPr>
              <w:pStyle w:val="44"/>
              <w:widowControl w:val="0"/>
              <w:spacing w:before="0" w:beforeAutospacing="0" w:after="0" w:afterAutospacing="0" w:line="360" w:lineRule="auto"/>
              <w:ind w:firstLine="43"/>
              <w:rPr>
                <w:rFonts w:hint="eastAsia" w:ascii="宋体" w:hAnsi="宋体" w:eastAsia="宋体"/>
                <w:bCs w:val="0"/>
                <w:color w:val="000000" w:themeColor="text1"/>
                <w:sz w:val="24"/>
                <w14:textFill>
                  <w14:solidFill>
                    <w14:schemeClr w14:val="tx1"/>
                  </w14:solidFill>
                </w14:textFill>
              </w:rPr>
            </w:pPr>
            <w:r>
              <w:rPr>
                <w:rFonts w:hint="eastAsia" w:ascii="宋体" w:hAnsi="宋体" w:eastAsia="宋体"/>
                <w:bCs w:val="0"/>
                <w:color w:val="000000" w:themeColor="text1"/>
                <w:sz w:val="24"/>
                <w14:textFill>
                  <w14:solidFill>
                    <w14:schemeClr w14:val="tx1"/>
                  </w14:solidFill>
                </w14:textFill>
              </w:rPr>
              <w:t>内容、说明与要求</w:t>
            </w:r>
          </w:p>
        </w:tc>
      </w:tr>
      <w:tr w14:paraId="1CE6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424" w:type="pct"/>
            <w:vAlign w:val="center"/>
          </w:tcPr>
          <w:p w14:paraId="6FE0ED4A">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1</w:t>
            </w:r>
          </w:p>
        </w:tc>
        <w:tc>
          <w:tcPr>
            <w:tcW w:w="1080" w:type="pct"/>
            <w:vAlign w:val="center"/>
          </w:tcPr>
          <w:p w14:paraId="22FC200D">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14:textFill>
                  <w14:solidFill>
                    <w14:schemeClr w14:val="tx1"/>
                  </w14:solidFill>
                </w14:textFill>
              </w:rPr>
              <w:t>付款方式</w:t>
            </w:r>
          </w:p>
        </w:tc>
        <w:tc>
          <w:tcPr>
            <w:tcW w:w="3494" w:type="pct"/>
            <w:vAlign w:val="center"/>
          </w:tcPr>
          <w:p w14:paraId="0A131BFE">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lang w:val="en-US" w:eastAsia="zh-CN"/>
                <w14:textFill>
                  <w14:solidFill>
                    <w14:schemeClr w14:val="tx1"/>
                  </w14:solidFill>
                </w14:textFill>
              </w:rPr>
              <w:t>维修服务完成且经验收合格后，支付合同总金额的60%，自质保期届满且确认无质量问题后，一次性无息支付剩余40%款项。</w:t>
            </w:r>
          </w:p>
        </w:tc>
      </w:tr>
      <w:tr w14:paraId="6601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4" w:type="pct"/>
            <w:vAlign w:val="center"/>
          </w:tcPr>
          <w:p w14:paraId="6148BA87">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14:textFill>
                  <w14:solidFill>
                    <w14:schemeClr w14:val="tx1"/>
                  </w14:solidFill>
                </w14:textFill>
              </w:rPr>
            </w:pPr>
            <w:r>
              <w:rPr>
                <w:rFonts w:hint="eastAsia" w:ascii="宋体" w:hAnsi="宋体" w:eastAsia="宋体"/>
                <w:bCs/>
                <w:color w:val="000000" w:themeColor="text1"/>
                <w:kern w:val="2"/>
                <w14:textFill>
                  <w14:solidFill>
                    <w14:schemeClr w14:val="tx1"/>
                  </w14:solidFill>
                </w14:textFill>
              </w:rPr>
              <w:t>2</w:t>
            </w:r>
          </w:p>
        </w:tc>
        <w:tc>
          <w:tcPr>
            <w:tcW w:w="1080" w:type="pct"/>
            <w:vAlign w:val="center"/>
          </w:tcPr>
          <w:p w14:paraId="3E28B1E6">
            <w:pPr>
              <w:pStyle w:val="44"/>
              <w:widowControl w:val="0"/>
              <w:spacing w:before="0" w:beforeAutospacing="0" w:after="0" w:afterAutospacing="0"/>
              <w:ind w:firstLine="43"/>
              <w:rPr>
                <w:rFonts w:hint="eastAsia" w:ascii="宋体" w:hAnsi="宋体" w:eastAsia="宋体"/>
                <w:b w:val="0"/>
                <w:color w:val="000000" w:themeColor="text1"/>
                <w:sz w:val="24"/>
                <w14:textFill>
                  <w14:solidFill>
                    <w14:schemeClr w14:val="tx1"/>
                  </w14:solidFill>
                </w14:textFill>
              </w:rPr>
            </w:pPr>
            <w:r>
              <w:rPr>
                <w:rFonts w:hint="eastAsia" w:ascii="宋体" w:hAnsi="宋体" w:eastAsia="宋体"/>
                <w:b w:val="0"/>
                <w:color w:val="000000" w:themeColor="text1"/>
                <w:sz w:val="24"/>
                <w:lang w:val="en-US" w:eastAsia="zh-CN"/>
                <w14:textFill>
                  <w14:solidFill>
                    <w14:schemeClr w14:val="tx1"/>
                  </w14:solidFill>
                </w14:textFill>
              </w:rPr>
              <w:t>服务</w:t>
            </w:r>
            <w:r>
              <w:rPr>
                <w:rFonts w:hint="eastAsia" w:ascii="宋体" w:hAnsi="宋体" w:eastAsia="宋体"/>
                <w:b w:val="0"/>
                <w:color w:val="000000" w:themeColor="text1"/>
                <w:sz w:val="24"/>
                <w14:textFill>
                  <w14:solidFill>
                    <w14:schemeClr w14:val="tx1"/>
                  </w14:solidFill>
                </w14:textFill>
              </w:rPr>
              <w:t>地点</w:t>
            </w:r>
          </w:p>
        </w:tc>
        <w:tc>
          <w:tcPr>
            <w:tcW w:w="3494" w:type="pct"/>
            <w:vAlign w:val="center"/>
          </w:tcPr>
          <w:p w14:paraId="3A3D8AC3">
            <w:pPr>
              <w:ind w:firstLine="43"/>
              <w:jc w:val="left"/>
              <w:rPr>
                <w:rFonts w:hint="eastAsia" w:ascii="宋体" w:hAnsi="宋体" w:eastAsia="宋体"/>
                <w:bCs/>
                <w:color w:val="000000" w:themeColor="text1"/>
                <w:kern w:val="0"/>
                <w:sz w:val="24"/>
                <w:szCs w:val="28"/>
                <w14:textFill>
                  <w14:solidFill>
                    <w14:schemeClr w14:val="tx1"/>
                  </w14:solidFill>
                </w14:textFill>
              </w:rPr>
            </w:pPr>
            <w:r>
              <w:rPr>
                <w:rFonts w:hint="eastAsia" w:ascii="宋体" w:hAnsi="宋体" w:eastAsia="宋体"/>
                <w:bCs/>
                <w:color w:val="000000" w:themeColor="text1"/>
                <w:kern w:val="0"/>
                <w:sz w:val="24"/>
                <w:szCs w:val="28"/>
                <w14:textFill>
                  <w14:solidFill>
                    <w14:schemeClr w14:val="tx1"/>
                  </w14:solidFill>
                </w14:textFill>
              </w:rPr>
              <w:t>滁州市第一人民医院（采购人指定地点）</w:t>
            </w:r>
          </w:p>
        </w:tc>
      </w:tr>
      <w:tr w14:paraId="3DB7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Align w:val="center"/>
          </w:tcPr>
          <w:p w14:paraId="58711BD2">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highlight w:val="none"/>
                <w14:textFill>
                  <w14:solidFill>
                    <w14:schemeClr w14:val="tx1"/>
                  </w14:solidFill>
                </w14:textFill>
              </w:rPr>
            </w:pPr>
            <w:r>
              <w:rPr>
                <w:rFonts w:hint="eastAsia" w:ascii="宋体" w:hAnsi="宋体" w:eastAsia="宋体"/>
                <w:bCs/>
                <w:color w:val="000000" w:themeColor="text1"/>
                <w:kern w:val="2"/>
                <w:highlight w:val="none"/>
                <w14:textFill>
                  <w14:solidFill>
                    <w14:schemeClr w14:val="tx1"/>
                  </w14:solidFill>
                </w14:textFill>
              </w:rPr>
              <w:t>3</w:t>
            </w:r>
          </w:p>
        </w:tc>
        <w:tc>
          <w:tcPr>
            <w:tcW w:w="1080" w:type="pct"/>
            <w:vAlign w:val="center"/>
          </w:tcPr>
          <w:p w14:paraId="06452674">
            <w:pPr>
              <w:pStyle w:val="44"/>
              <w:widowControl w:val="0"/>
              <w:spacing w:before="0" w:beforeAutospacing="0" w:after="0" w:afterAutospacing="0"/>
              <w:ind w:firstLine="43"/>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lang w:val="en-US" w:eastAsia="zh-CN"/>
                <w14:textFill>
                  <w14:solidFill>
                    <w14:schemeClr w14:val="tx1"/>
                  </w14:solidFill>
                </w14:textFill>
              </w:rPr>
              <w:t>服务</w:t>
            </w:r>
            <w:r>
              <w:rPr>
                <w:rFonts w:hint="eastAsia" w:ascii="宋体" w:hAnsi="宋体" w:eastAsia="宋体"/>
                <w:b w:val="0"/>
                <w:color w:val="000000" w:themeColor="text1"/>
                <w:sz w:val="24"/>
                <w:highlight w:val="none"/>
                <w14:textFill>
                  <w14:solidFill>
                    <w14:schemeClr w14:val="tx1"/>
                  </w14:solidFill>
                </w14:textFill>
              </w:rPr>
              <w:t>期限</w:t>
            </w:r>
          </w:p>
        </w:tc>
        <w:tc>
          <w:tcPr>
            <w:tcW w:w="3494" w:type="pct"/>
            <w:vAlign w:val="center"/>
          </w:tcPr>
          <w:p w14:paraId="25E0D77B">
            <w:pPr>
              <w:ind w:firstLine="43"/>
              <w:jc w:val="left"/>
              <w:rPr>
                <w:rFonts w:hint="eastAsia" w:ascii="宋体" w:hAnsi="宋体" w:eastAsia="宋体"/>
                <w:bCs/>
                <w:color w:val="000000" w:themeColor="text1"/>
                <w:kern w:val="0"/>
                <w:sz w:val="24"/>
                <w:szCs w:val="28"/>
                <w:highlight w:val="none"/>
                <w:lang w:eastAsia="zh-CN"/>
                <w14:textFill>
                  <w14:solidFill>
                    <w14:schemeClr w14:val="tx1"/>
                  </w14:solidFill>
                </w14:textFill>
              </w:rPr>
            </w:pPr>
            <w:r>
              <w:rPr>
                <w:rFonts w:hint="eastAsia" w:ascii="宋体" w:hAnsi="宋体" w:eastAsia="宋体"/>
                <w:bCs/>
                <w:color w:val="000000" w:themeColor="text1"/>
                <w:kern w:val="0"/>
                <w:sz w:val="24"/>
                <w:szCs w:val="28"/>
                <w:highlight w:val="none"/>
                <w:lang w:eastAsia="zh-CN"/>
                <w14:textFill>
                  <w14:solidFill>
                    <w14:schemeClr w14:val="tx1"/>
                  </w14:solidFill>
                </w14:textFill>
              </w:rPr>
              <w:t>一年</w:t>
            </w:r>
          </w:p>
        </w:tc>
      </w:tr>
      <w:tr w14:paraId="1864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4" w:type="pct"/>
            <w:vAlign w:val="center"/>
          </w:tcPr>
          <w:p w14:paraId="3BC5E7A4">
            <w:pPr>
              <w:pStyle w:val="45"/>
              <w:pBdr>
                <w:bottom w:val="none" w:color="auto" w:sz="0" w:space="0"/>
              </w:pBdr>
              <w:tabs>
                <w:tab w:val="clear" w:pos="4153"/>
                <w:tab w:val="clear" w:pos="8306"/>
              </w:tabs>
              <w:adjustRightInd/>
              <w:spacing w:line="240" w:lineRule="auto"/>
              <w:ind w:firstLine="43"/>
              <w:textAlignment w:val="auto"/>
              <w:rPr>
                <w:rFonts w:hint="eastAsia" w:ascii="宋体" w:hAnsi="宋体" w:eastAsia="宋体"/>
                <w:bCs/>
                <w:color w:val="000000" w:themeColor="text1"/>
                <w:kern w:val="2"/>
                <w:highlight w:val="none"/>
                <w14:textFill>
                  <w14:solidFill>
                    <w14:schemeClr w14:val="tx1"/>
                  </w14:solidFill>
                </w14:textFill>
              </w:rPr>
            </w:pPr>
            <w:bookmarkStart w:id="47" w:name="_Toc7421"/>
            <w:bookmarkStart w:id="48" w:name="_Toc4843"/>
            <w:r>
              <w:rPr>
                <w:rFonts w:hint="eastAsia" w:ascii="宋体" w:hAnsi="宋体" w:eastAsia="宋体"/>
                <w:bCs/>
                <w:color w:val="000000" w:themeColor="text1"/>
                <w:kern w:val="2"/>
                <w:highlight w:val="none"/>
                <w14:textFill>
                  <w14:solidFill>
                    <w14:schemeClr w14:val="tx1"/>
                  </w14:solidFill>
                </w14:textFill>
              </w:rPr>
              <w:t>4</w:t>
            </w:r>
          </w:p>
        </w:tc>
        <w:tc>
          <w:tcPr>
            <w:tcW w:w="1080" w:type="pct"/>
            <w:vAlign w:val="center"/>
          </w:tcPr>
          <w:p w14:paraId="32545CD7">
            <w:pPr>
              <w:pStyle w:val="44"/>
              <w:widowControl w:val="0"/>
              <w:spacing w:before="0" w:beforeAutospacing="0" w:after="0" w:afterAutospacing="0"/>
              <w:ind w:firstLine="43"/>
              <w:rPr>
                <w:rFonts w:hint="eastAsia" w:ascii="宋体" w:hAnsi="宋体" w:eastAsia="宋体"/>
                <w:b w:val="0"/>
                <w:color w:val="000000" w:themeColor="text1"/>
                <w:sz w:val="24"/>
                <w:highlight w:val="none"/>
                <w14:textFill>
                  <w14:solidFill>
                    <w14:schemeClr w14:val="tx1"/>
                  </w14:solidFill>
                </w14:textFill>
              </w:rPr>
            </w:pPr>
            <w:r>
              <w:rPr>
                <w:rFonts w:hint="eastAsia" w:ascii="宋体" w:hAnsi="宋体" w:eastAsia="宋体"/>
                <w:b w:val="0"/>
                <w:color w:val="000000" w:themeColor="text1"/>
                <w:sz w:val="24"/>
                <w:highlight w:val="none"/>
                <w14:textFill>
                  <w14:solidFill>
                    <w14:schemeClr w14:val="tx1"/>
                  </w14:solidFill>
                </w14:textFill>
              </w:rPr>
              <w:t>质保期限</w:t>
            </w:r>
          </w:p>
        </w:tc>
        <w:tc>
          <w:tcPr>
            <w:tcW w:w="3494" w:type="pct"/>
            <w:vAlign w:val="center"/>
          </w:tcPr>
          <w:p w14:paraId="697A6AE9">
            <w:pPr>
              <w:ind w:firstLine="43"/>
              <w:jc w:val="left"/>
              <w:rPr>
                <w:rFonts w:hint="eastAsia"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lang w:val="en-US" w:eastAsia="zh-CN"/>
                <w14:textFill>
                  <w14:solidFill>
                    <w14:schemeClr w14:val="tx1"/>
                  </w14:solidFill>
                </w14:textFill>
              </w:rPr>
              <w:t>一年</w:t>
            </w:r>
          </w:p>
        </w:tc>
      </w:tr>
    </w:tbl>
    <w:p w14:paraId="5DAE09A7">
      <w:pPr>
        <w:pStyle w:val="51"/>
        <w:numPr>
          <w:ilvl w:val="0"/>
          <w:numId w:val="1"/>
        </w:numPr>
        <w:spacing w:line="360" w:lineRule="auto"/>
        <w:ind w:firstLineChars="0"/>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货物需求</w:t>
      </w:r>
    </w:p>
    <w:bookmarkEnd w:id="47"/>
    <w:bookmarkEnd w:id="48"/>
    <w:p w14:paraId="7DC0DB0D">
      <w:pPr>
        <w:spacing w:line="360" w:lineRule="auto"/>
        <w:ind w:firstLine="480" w:firstLineChars="200"/>
        <w:rPr>
          <w:rFonts w:hint="eastAsia" w:ascii="宋体" w:hAnsi="宋体" w:eastAsia="宋体"/>
          <w:b/>
          <w:color w:val="000000" w:themeColor="text1"/>
          <w:sz w:val="24"/>
          <w:szCs w:val="18"/>
          <w:highlight w:val="none"/>
          <w14:textFill>
            <w14:solidFill>
              <w14:schemeClr w14:val="tx1"/>
            </w14:solidFill>
          </w14:textFill>
        </w:rPr>
      </w:pPr>
      <w:r>
        <w:rPr>
          <w:rFonts w:hint="default" w:ascii="宋体" w:hAnsi="宋体" w:eastAsia="宋体" w:cs="@仿宋_GB2312"/>
          <w:bCs/>
          <w:color w:val="000000" w:themeColor="text1"/>
          <w:kern w:val="0"/>
          <w:sz w:val="24"/>
          <w:szCs w:val="28"/>
          <w:highlight w:val="none"/>
          <w:lang w:val="en-US" w:eastAsia="zh-CN" w:bidi="ar-SA"/>
          <w14:textFill>
            <w14:solidFill>
              <w14:schemeClr w14:val="tx1"/>
            </w14:solidFill>
          </w14:textFill>
        </w:rPr>
        <w:t>（一）</w:t>
      </w:r>
      <w:r>
        <w:rPr>
          <w:rFonts w:hint="eastAsia" w:ascii="宋体" w:hAnsi="宋体" w:eastAsia="宋体"/>
          <w:b/>
          <w:color w:val="000000" w:themeColor="text1"/>
          <w:sz w:val="24"/>
          <w:szCs w:val="18"/>
          <w:highlight w:val="none"/>
          <w14:textFill>
            <w14:solidFill>
              <w14:schemeClr w14:val="tx1"/>
            </w14:solidFill>
          </w14:textFill>
        </w:rPr>
        <w:t>采购需求清单</w:t>
      </w:r>
    </w:p>
    <w:tbl>
      <w:tblPr>
        <w:tblStyle w:val="27"/>
        <w:tblW w:w="8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360"/>
        <w:gridCol w:w="1815"/>
        <w:gridCol w:w="1470"/>
        <w:gridCol w:w="1470"/>
      </w:tblGrid>
      <w:tr w14:paraId="3EB1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1" w:type="dxa"/>
          </w:tcPr>
          <w:p w14:paraId="1CD781BE">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序号</w:t>
            </w:r>
          </w:p>
        </w:tc>
        <w:tc>
          <w:tcPr>
            <w:tcW w:w="2360" w:type="dxa"/>
          </w:tcPr>
          <w:p w14:paraId="12991C89">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名称</w:t>
            </w:r>
          </w:p>
        </w:tc>
        <w:tc>
          <w:tcPr>
            <w:tcW w:w="1815" w:type="dxa"/>
          </w:tcPr>
          <w:p w14:paraId="6C5D929A">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bookmarkStart w:id="49" w:name="OLE_LINK1"/>
            <w:r>
              <w:rPr>
                <w:rFonts w:hint="eastAsia" w:cs="Times New Roman" w:asciiTheme="minorEastAsia" w:hAnsiTheme="minorEastAsia" w:eastAsiaTheme="minorEastAsia"/>
                <w:color w:val="000000" w:themeColor="text1"/>
                <w:szCs w:val="22"/>
                <w:highlight w:val="none"/>
                <w14:textFill>
                  <w14:solidFill>
                    <w14:schemeClr w14:val="tx1"/>
                  </w14:solidFill>
                </w14:textFill>
              </w:rPr>
              <w:t>单位</w:t>
            </w:r>
            <w:bookmarkEnd w:id="49"/>
          </w:p>
        </w:tc>
        <w:tc>
          <w:tcPr>
            <w:tcW w:w="1470" w:type="dxa"/>
          </w:tcPr>
          <w:p w14:paraId="5CCDFE9A">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数量</w:t>
            </w:r>
          </w:p>
        </w:tc>
        <w:tc>
          <w:tcPr>
            <w:tcW w:w="1470" w:type="dxa"/>
          </w:tcPr>
          <w:p w14:paraId="7F309BA0">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备注</w:t>
            </w:r>
          </w:p>
        </w:tc>
      </w:tr>
      <w:tr w14:paraId="6850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1" w:type="dxa"/>
            <w:vAlign w:val="center"/>
          </w:tcPr>
          <w:p w14:paraId="59668824">
            <w:pPr>
              <w:ind w:firstLine="38"/>
              <w:jc w:val="center"/>
              <w:rPr>
                <w:rFonts w:hint="eastAsia" w:cs="Times New Roman" w:asciiTheme="minorEastAsia" w:hAnsiTheme="minorEastAsia" w:eastAsiaTheme="minorEastAsia"/>
                <w:color w:val="000000" w:themeColor="text1"/>
                <w:szCs w:val="22"/>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14:textFill>
                  <w14:solidFill>
                    <w14:schemeClr w14:val="tx1"/>
                  </w14:solidFill>
                </w14:textFill>
              </w:rPr>
              <w:t>1</w:t>
            </w:r>
          </w:p>
        </w:tc>
        <w:tc>
          <w:tcPr>
            <w:tcW w:w="2360" w:type="dxa"/>
            <w:vAlign w:val="center"/>
          </w:tcPr>
          <w:p w14:paraId="4D81B634">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球管更换</w:t>
            </w:r>
          </w:p>
        </w:tc>
        <w:tc>
          <w:tcPr>
            <w:tcW w:w="1815" w:type="dxa"/>
            <w:vAlign w:val="center"/>
          </w:tcPr>
          <w:p w14:paraId="694D7C14">
            <w:pPr>
              <w:ind w:firstLine="38"/>
              <w:jc w:val="cente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1</w:t>
            </w:r>
          </w:p>
        </w:tc>
        <w:tc>
          <w:tcPr>
            <w:tcW w:w="1470" w:type="dxa"/>
            <w:vAlign w:val="center"/>
          </w:tcPr>
          <w:p w14:paraId="5C9DFF8E">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项</w:t>
            </w:r>
          </w:p>
        </w:tc>
        <w:tc>
          <w:tcPr>
            <w:tcW w:w="1470" w:type="dxa"/>
            <w:vAlign w:val="center"/>
          </w:tcPr>
          <w:p w14:paraId="50DE8FAA">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热容量≥5M</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br w:type="textWrapping"/>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质保一年</w:t>
            </w:r>
          </w:p>
        </w:tc>
      </w:tr>
      <w:tr w14:paraId="5919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81" w:type="dxa"/>
            <w:vAlign w:val="center"/>
          </w:tcPr>
          <w:p w14:paraId="43080579">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2</w:t>
            </w:r>
          </w:p>
        </w:tc>
        <w:tc>
          <w:tcPr>
            <w:tcW w:w="2360" w:type="dxa"/>
            <w:vAlign w:val="center"/>
          </w:tcPr>
          <w:p w14:paraId="4D5ECFAE">
            <w:pPr>
              <w:ind w:firstLine="38"/>
              <w:jc w:val="cente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检查床、机架及散热系统保养维修</w:t>
            </w:r>
          </w:p>
        </w:tc>
        <w:tc>
          <w:tcPr>
            <w:tcW w:w="1815" w:type="dxa"/>
            <w:vAlign w:val="center"/>
          </w:tcPr>
          <w:p w14:paraId="7A53D87F">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1</w:t>
            </w:r>
          </w:p>
        </w:tc>
        <w:tc>
          <w:tcPr>
            <w:tcW w:w="1470" w:type="dxa"/>
            <w:vAlign w:val="center"/>
          </w:tcPr>
          <w:p w14:paraId="4CC9A23C">
            <w:pPr>
              <w:ind w:firstLine="38"/>
              <w:jc w:val="cente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项</w:t>
            </w:r>
          </w:p>
        </w:tc>
        <w:tc>
          <w:tcPr>
            <w:tcW w:w="1470" w:type="dxa"/>
            <w:vAlign w:val="center"/>
          </w:tcPr>
          <w:p w14:paraId="4DD43C19">
            <w:pPr>
              <w:ind w:firstLine="38"/>
              <w:jc w:val="center"/>
              <w:rPr>
                <w:rFonts w:hint="eastAsia" w:cs="Times New Roman" w:asciiTheme="minorEastAsia" w:hAnsiTheme="minorEastAsia" w:eastAsiaTheme="minorEastAsia"/>
                <w:color w:val="000000" w:themeColor="text1"/>
                <w:szCs w:val="22"/>
                <w:highlight w:val="none"/>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维修保养</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br w:type="textWrapping"/>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质保一年</w:t>
            </w:r>
          </w:p>
        </w:tc>
      </w:tr>
    </w:tbl>
    <w:p w14:paraId="7B9C0888">
      <w:pPr>
        <w:spacing w:line="360" w:lineRule="auto"/>
        <w:ind w:firstLine="482" w:firstLineChars="200"/>
        <w:rPr>
          <w:rFonts w:hint="eastAsia" w:ascii="宋体" w:hAnsi="宋体" w:eastAsia="宋体"/>
          <w:b/>
          <w:color w:val="000000" w:themeColor="text1"/>
          <w:sz w:val="24"/>
          <w:szCs w:val="18"/>
          <w14:textFill>
            <w14:solidFill>
              <w14:schemeClr w14:val="tx1"/>
            </w14:solidFill>
          </w14:textFill>
        </w:rPr>
      </w:pPr>
      <w:r>
        <w:rPr>
          <w:rFonts w:hint="default" w:ascii="宋体" w:hAnsi="宋体" w:eastAsia="宋体"/>
          <w:b/>
          <w:color w:val="000000" w:themeColor="text1"/>
          <w:sz w:val="24"/>
          <w:szCs w:val="18"/>
          <w:lang w:val="en-US" w:eastAsia="zh-CN"/>
          <w14:textFill>
            <w14:solidFill>
              <w14:schemeClr w14:val="tx1"/>
            </w14:solidFill>
          </w14:textFill>
        </w:rPr>
        <w:t>（</w:t>
      </w:r>
      <w:r>
        <w:rPr>
          <w:rFonts w:hint="eastAsia" w:ascii="宋体" w:hAnsi="宋体" w:eastAsia="宋体"/>
          <w:b/>
          <w:color w:val="000000" w:themeColor="text1"/>
          <w:sz w:val="24"/>
          <w:szCs w:val="18"/>
          <w:lang w:val="en-US" w:eastAsia="zh-CN"/>
          <w14:textFill>
            <w14:solidFill>
              <w14:schemeClr w14:val="tx1"/>
            </w14:solidFill>
          </w14:textFill>
        </w:rPr>
        <w:t>二</w:t>
      </w:r>
      <w:r>
        <w:rPr>
          <w:rFonts w:hint="default" w:ascii="宋体" w:hAnsi="宋体" w:eastAsia="宋体"/>
          <w:b/>
          <w:color w:val="000000" w:themeColor="text1"/>
          <w:sz w:val="24"/>
          <w:szCs w:val="18"/>
          <w:lang w:val="en-US" w:eastAsia="zh-CN"/>
          <w14:textFill>
            <w14:solidFill>
              <w14:schemeClr w14:val="tx1"/>
            </w14:solidFill>
          </w14:textFill>
        </w:rPr>
        <w:t>）</w:t>
      </w:r>
      <w:r>
        <w:rPr>
          <w:rFonts w:hint="eastAsia" w:ascii="宋体" w:hAnsi="宋体" w:eastAsia="宋体"/>
          <w:b/>
          <w:color w:val="000000" w:themeColor="text1"/>
          <w:sz w:val="24"/>
          <w:szCs w:val="18"/>
          <w14:textFill>
            <w14:solidFill>
              <w14:schemeClr w14:val="tx1"/>
            </w14:solidFill>
          </w14:textFill>
        </w:rPr>
        <w:t>项目总体技术标准及规范要求</w:t>
      </w:r>
    </w:p>
    <w:p w14:paraId="3BD2FD21">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t>1、更换球管：</w:t>
      </w:r>
    </w:p>
    <w:p w14:paraId="66AC4EAF">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更换适用于SOMATOM Emotion16且热容量≥5M，液态金属轴承的球管（提供证明文件，质保一年，不限扫描秒次）</w:t>
      </w:r>
    </w:p>
    <w:p w14:paraId="6E1CFFC6">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Cs w:val="22"/>
          <w:highlight w:val="none"/>
          <w:lang w:val="en-US" w:eastAsia="zh-CN"/>
          <w14:textFill>
            <w14:solidFill>
              <w14:schemeClr w14:val="tx1"/>
            </w14:solidFill>
          </w14:textFill>
        </w:rPr>
        <w:t>2、球管、检查床、机架及散热系统的质保期要求：</w:t>
      </w:r>
    </w:p>
    <w:p w14:paraId="5FEF57CE">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（1）</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必须具备客户服务专线电话，每天开通服务时间≥24小时。</w:t>
      </w:r>
    </w:p>
    <w:p w14:paraId="4FD3595A">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（2）</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报修响应时间≤2小时，到达现场时间≤48小时，</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期内全年响应；确保开机率≥95%（按工作日计算）。</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ab/>
      </w:r>
    </w:p>
    <w:p w14:paraId="72BEF676">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（3）</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提供的零备件必须与采购方</w:t>
      </w: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的设备整机完全匹配且为测试合格件。</w:t>
      </w:r>
    </w:p>
    <w:p w14:paraId="3B38912C">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（4）</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须具有CT系列设备维修及液态轴承球管、探测器检测、校正相关工具和仪器（如Plugs）。球管高压检测工具≥1套，提供X射线剂量监测，符合标准。球管安装校验需按原厂标准完成(焦点中心校正；自动曝光校正；X光剂量校正)。</w:t>
      </w:r>
    </w:p>
    <w:p w14:paraId="657BBF76">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（5）</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具有经合法校正的专业维修工具、仪器，并能提供工具仪器的校正记录文件。</w:t>
      </w:r>
    </w:p>
    <w:p w14:paraId="112C7FF0">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（6）</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为了能顺利处理采购方上述所有维修保修保养设备规格型号的疑难故障，要求质保单位能够随时合法按需要提供有效的技术、物力支持。</w:t>
      </w:r>
    </w:p>
    <w:p w14:paraId="19248EE5">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（7）质保</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单位必须在国内设有专业、充足的设备零备件仓库，提供详细说明文件以供采购方核实。</w:t>
      </w:r>
    </w:p>
    <w:p w14:paraId="082F5272">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（8）</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质保单位在国内设有3个以上稳定的常驻服务人员，相关人员具有厂家培训考核合格的有效期内的服务资质证。</w:t>
      </w:r>
    </w:p>
    <w:p w14:paraId="125B8DC2">
      <w:pPr>
        <w:keepNext w:val="0"/>
        <w:keepLines w:val="0"/>
        <w:pageBreakBefore w:val="0"/>
        <w:widowControl w:val="0"/>
        <w:kinsoku/>
        <w:wordWrap/>
        <w:overflowPunct/>
        <w:topLinePunct w:val="0"/>
        <w:autoSpaceDE/>
        <w:autoSpaceDN/>
        <w:bidi w:val="0"/>
        <w:adjustRightInd/>
        <w:snapToGrid/>
        <w:spacing w:line="500" w:lineRule="exact"/>
        <w:ind w:left="0" w:leftChars="0" w:firstLine="578" w:firstLineChars="0"/>
        <w:jc w:val="left"/>
        <w:textAlignment w:val="auto"/>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Cs w:val="22"/>
          <w:highlight w:val="none"/>
          <w:lang w:val="en-US" w:eastAsia="zh-CN"/>
          <w14:textFill>
            <w14:solidFill>
              <w14:schemeClr w14:val="tx1"/>
            </w14:solidFill>
          </w14:textFill>
        </w:rPr>
        <w:t>（9）</w:t>
      </w:r>
      <w:r>
        <w:rPr>
          <w:rFonts w:hint="default" w:cs="Times New Roman" w:asciiTheme="minorEastAsia" w:hAnsiTheme="minorEastAsia" w:eastAsiaTheme="minorEastAsia"/>
          <w:color w:val="000000" w:themeColor="text1"/>
          <w:szCs w:val="22"/>
          <w:highlight w:val="none"/>
          <w:lang w:val="en-US" w:eastAsia="zh-CN"/>
          <w14:textFill>
            <w14:solidFill>
              <w14:schemeClr w14:val="tx1"/>
            </w14:solidFill>
          </w14:textFill>
        </w:rPr>
        <w:t>质保单位不得转包、分包或外请非本公司人员参与服务。</w:t>
      </w:r>
    </w:p>
    <w:p w14:paraId="6891505F">
      <w:pPr>
        <w:pStyle w:val="41"/>
        <w:ind w:left="0" w:leftChars="0" w:firstLine="638" w:firstLineChars="266"/>
        <w:rPr>
          <w:rFonts w:hint="default" w:ascii="宋体" w:hAnsi="宋体" w:eastAsia="宋体" w:cs="@仿宋_GB2312"/>
          <w:bCs/>
          <w:color w:val="0000FF"/>
          <w:spacing w:val="0"/>
          <w:kern w:val="0"/>
          <w:sz w:val="24"/>
          <w:szCs w:val="28"/>
          <w:lang w:val="en-US" w:eastAsia="zh-CN" w:bidi="ar-SA"/>
        </w:rPr>
      </w:pPr>
    </w:p>
    <w:p w14:paraId="44443D7F">
      <w:pPr>
        <w:spacing w:line="440" w:lineRule="exact"/>
        <w:ind w:firstLine="43"/>
        <w:outlineLvl w:val="1"/>
        <w:rPr>
          <w:rFonts w:hint="eastAsia" w:ascii="宋体" w:hAnsi="宋体" w:eastAsia="宋体"/>
          <w:b/>
          <w:color w:val="000000" w:themeColor="text1"/>
          <w:sz w:val="24"/>
          <w:szCs w:val="18"/>
          <w14:textFill>
            <w14:solidFill>
              <w14:schemeClr w14:val="tx1"/>
            </w14:solidFill>
          </w14:textFill>
        </w:rPr>
      </w:pPr>
      <w:r>
        <w:rPr>
          <w:rFonts w:hint="eastAsia" w:ascii="宋体" w:hAnsi="宋体" w:eastAsia="宋体"/>
          <w:b/>
          <w:color w:val="000000" w:themeColor="text1"/>
          <w:sz w:val="24"/>
          <w:szCs w:val="18"/>
          <w14:textFill>
            <w14:solidFill>
              <w14:schemeClr w14:val="tx1"/>
            </w14:solidFill>
          </w14:textFill>
        </w:rPr>
        <w:t>三、报价要求</w:t>
      </w:r>
    </w:p>
    <w:p w14:paraId="08F80450">
      <w:pPr>
        <w:spacing w:line="440" w:lineRule="exact"/>
        <w:ind w:right="-92" w:rightChars="-44" w:firstLine="460" w:firstLineChars="192"/>
        <w:rPr>
          <w:rFonts w:hint="eastAsia" w:ascii="宋体" w:hAnsi="宋体" w:eastAsia="宋体" w:cs="宋体"/>
          <w:color w:val="000000" w:themeColor="text1"/>
          <w:sz w:val="24"/>
          <w:szCs w:val="24"/>
          <w14:textFill>
            <w14:solidFill>
              <w14:schemeClr w14:val="tx1"/>
            </w14:solidFill>
          </w14:textFill>
        </w:rPr>
      </w:pPr>
      <w:bookmarkStart w:id="50" w:name="_Toc14698"/>
      <w:bookmarkStart w:id="51" w:name="_Toc15293"/>
      <w:r>
        <w:rPr>
          <w:rFonts w:hint="eastAsia" w:ascii="宋体" w:hAnsi="宋体" w:eastAsia="宋体" w:cs="宋体"/>
          <w:color w:val="000000" w:themeColor="text1"/>
          <w:sz w:val="24"/>
          <w:szCs w:val="24"/>
          <w14:textFill>
            <w14:solidFill>
              <w14:schemeClr w14:val="tx1"/>
            </w14:solidFill>
          </w14:textFill>
        </w:rPr>
        <w:t>1.供应商报价文件中的单价和总价全部采用人民币表示。供应商的报价应含有服务（货物）、利润、税金、政策性文件规定及合同包含的所有风险、责任、义务等，即为完成采购文件要求的服务内容所包含的一切应有费用，成交价格今后将不作任何调整，采购人后期不再追加费用，供应商自行考虑报价风险。</w:t>
      </w:r>
    </w:p>
    <w:p w14:paraId="2DCA1601">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2.供应商只允许有一个方案、一个报价。</w:t>
      </w:r>
    </w:p>
    <w:p w14:paraId="3CBAECE5">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3.供应商本章所列服务内容进行报价，供应商</w:t>
      </w:r>
      <w:r>
        <w:rPr>
          <w:rFonts w:hint="eastAsia" w:ascii="宋体" w:hAnsi="宋体" w:eastAsia="宋体" w:cs="宋体"/>
          <w:color w:val="000000" w:themeColor="text1"/>
          <w:sz w:val="24"/>
          <w:szCs w:val="24"/>
          <w:lang w:val="zh-CN"/>
          <w14:textFill>
            <w14:solidFill>
              <w14:schemeClr w14:val="tx1"/>
            </w14:solidFill>
          </w14:textFill>
        </w:rPr>
        <w:t>报价为完成本次</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zh-CN"/>
          <w14:textFill>
            <w14:solidFill>
              <w14:schemeClr w14:val="tx1"/>
            </w14:solidFill>
          </w14:textFill>
        </w:rPr>
        <w:t>项目的全费用价格，其组成包括</w:t>
      </w:r>
      <w:r>
        <w:rPr>
          <w:rFonts w:hint="eastAsia" w:ascii="宋体" w:hAnsi="宋体" w:eastAsia="宋体" w:cs="宋体"/>
          <w:color w:val="000000" w:themeColor="text1"/>
          <w:sz w:val="24"/>
          <w:szCs w:val="24"/>
          <w14:textFill>
            <w14:solidFill>
              <w14:schemeClr w14:val="tx1"/>
            </w14:solidFill>
          </w14:textFill>
        </w:rPr>
        <w:t>国家对中标单位征收的各种税费等所有一切费用，综合单价今后将不作任何调整。</w:t>
      </w:r>
    </w:p>
    <w:p w14:paraId="6A1EE06F">
      <w:pPr>
        <w:spacing w:line="440" w:lineRule="exact"/>
        <w:ind w:right="-92" w:rightChars="-44"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4.供应商报价的价格是完成项目全部内容（包括后期的相关服务）交付的价格，其总价即为履行合同的价格。</w:t>
      </w:r>
    </w:p>
    <w:p w14:paraId="3D94FAF6">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5.供应商报价为含税价，采购人不再为此次招标支付任何费用。</w:t>
      </w:r>
    </w:p>
    <w:p w14:paraId="176C73C8">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6.供应商报价应由法定代表人或被授权人签署。</w:t>
      </w:r>
    </w:p>
    <w:p w14:paraId="36A26CE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7.供应商的报价不得高于本次招标最高限价（</w:t>
      </w:r>
      <w:r>
        <w:rPr>
          <w:rFonts w:hint="eastAsia" w:ascii="宋体" w:hAnsi="宋体" w:eastAsia="宋体" w:cs="宋体"/>
          <w:color w:val="000000" w:themeColor="text1"/>
          <w:sz w:val="24"/>
          <w:szCs w:val="24"/>
          <w:lang w:val="en-US" w:eastAsia="zh-CN"/>
          <w14:textFill>
            <w14:solidFill>
              <w14:schemeClr w14:val="tx1"/>
            </w14:solidFill>
          </w14:textFill>
        </w:rPr>
        <w:t>200</w:t>
      </w:r>
      <w:r>
        <w:rPr>
          <w:rFonts w:hint="eastAsia" w:ascii="宋体" w:hAnsi="宋体" w:eastAsia="宋体" w:cs="宋体"/>
          <w:color w:val="000000" w:themeColor="text1"/>
          <w:sz w:val="24"/>
          <w:szCs w:val="24"/>
          <w14:textFill>
            <w14:solidFill>
              <w14:schemeClr w14:val="tx1"/>
            </w14:solidFill>
          </w14:textFill>
        </w:rPr>
        <w:t>000元），否则将作为无效报价处理。</w:t>
      </w:r>
    </w:p>
    <w:p w14:paraId="10391BC3">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8.如响应文件中未列明全面实现投标服务功能而必须配置的配套或辅助设施及相应技术措施的费用，这些费用将被视为已包含在总报价中。</w:t>
      </w:r>
    </w:p>
    <w:p w14:paraId="79EAB7A4">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9.总报价中不得包含采购文件要求以外的内容，否则，在评标时不予核减，但在授予合同时，采购人有权将这部分价格从其成交价格中扣除。</w:t>
      </w:r>
      <w:bookmarkEnd w:id="50"/>
      <w:bookmarkEnd w:id="51"/>
    </w:p>
    <w:p w14:paraId="2BAD5D71">
      <w:pPr>
        <w:pStyle w:val="25"/>
        <w:rPr>
          <w:rFonts w:hint="eastAsia"/>
          <w:color w:val="000000" w:themeColor="text1"/>
          <w14:textFill>
            <w14:solidFill>
              <w14:schemeClr w14:val="tx1"/>
            </w14:solidFill>
          </w14:textFill>
        </w:rPr>
      </w:pPr>
    </w:p>
    <w:p w14:paraId="1700B33B">
      <w:pPr>
        <w:rPr>
          <w:rFonts w:hint="eastAsia"/>
          <w:color w:val="000000" w:themeColor="text1"/>
          <w14:textFill>
            <w14:solidFill>
              <w14:schemeClr w14:val="tx1"/>
            </w14:solidFill>
          </w14:textFill>
        </w:rPr>
      </w:pPr>
    </w:p>
    <w:p w14:paraId="44665280">
      <w:pPr>
        <w:pStyle w:val="25"/>
        <w:rPr>
          <w:rFonts w:hint="eastAsia"/>
          <w:color w:val="000000" w:themeColor="text1"/>
          <w14:textFill>
            <w14:solidFill>
              <w14:schemeClr w14:val="tx1"/>
            </w14:solidFill>
          </w14:textFill>
        </w:rPr>
      </w:pPr>
    </w:p>
    <w:p w14:paraId="2196DEC2">
      <w:pPr>
        <w:rPr>
          <w:rFonts w:hint="eastAsia"/>
          <w:color w:val="000000" w:themeColor="text1"/>
          <w14:textFill>
            <w14:solidFill>
              <w14:schemeClr w14:val="tx1"/>
            </w14:solidFill>
          </w14:textFill>
        </w:rPr>
      </w:pPr>
    </w:p>
    <w:p w14:paraId="10D3975C">
      <w:pPr>
        <w:pStyle w:val="25"/>
        <w:rPr>
          <w:rFonts w:hint="eastAsia"/>
          <w:color w:val="000000" w:themeColor="text1"/>
          <w14:textFill>
            <w14:solidFill>
              <w14:schemeClr w14:val="tx1"/>
            </w14:solidFill>
          </w14:textFill>
        </w:rPr>
      </w:pPr>
    </w:p>
    <w:p w14:paraId="1C80D748">
      <w:pPr>
        <w:rPr>
          <w:rFonts w:hint="eastAsia"/>
          <w:color w:val="000000" w:themeColor="text1"/>
          <w14:textFill>
            <w14:solidFill>
              <w14:schemeClr w14:val="tx1"/>
            </w14:solidFill>
          </w14:textFill>
        </w:rPr>
      </w:pPr>
    </w:p>
    <w:p w14:paraId="61520DAC">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第四章  评标方法和标准（最低评标价法）</w:t>
      </w:r>
      <w:bookmarkEnd w:id="46"/>
    </w:p>
    <w:p w14:paraId="23E36790">
      <w:pPr>
        <w:spacing w:line="360" w:lineRule="auto"/>
        <w:ind w:firstLine="437"/>
        <w:outlineLvl w:val="1"/>
        <w:rPr>
          <w:rFonts w:hint="eastAsia" w:asciiTheme="minorEastAsia" w:hAnsiTheme="minorEastAsia" w:eastAsiaTheme="minorEastAsia"/>
          <w:b/>
          <w:sz w:val="24"/>
          <w:highlight w:val="none"/>
        </w:rPr>
      </w:pPr>
      <w:bookmarkStart w:id="52" w:name="_Toc22115"/>
      <w:bookmarkStart w:id="53" w:name="_Toc6560"/>
      <w:r>
        <w:rPr>
          <w:rFonts w:hint="eastAsia" w:asciiTheme="minorEastAsia" w:hAnsiTheme="minorEastAsia" w:eastAsiaTheme="minorEastAsia"/>
          <w:b/>
          <w:sz w:val="24"/>
          <w:highlight w:val="none"/>
        </w:rPr>
        <w:t>一、总则</w:t>
      </w:r>
      <w:bookmarkEnd w:id="52"/>
      <w:bookmarkEnd w:id="53"/>
    </w:p>
    <w:p w14:paraId="6608BE4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本项目将按照招标文件第二章投标人须知的相关要求</w:t>
      </w:r>
      <w:r>
        <w:rPr>
          <w:rFonts w:asciiTheme="minorEastAsia" w:hAnsiTheme="minorEastAsia" w:eastAsiaTheme="minorEastAsia"/>
          <w:sz w:val="24"/>
          <w:highlight w:val="none"/>
        </w:rPr>
        <w:t>及本章的规定评标。</w:t>
      </w:r>
    </w:p>
    <w:p w14:paraId="78778D44">
      <w:pPr>
        <w:spacing w:line="360" w:lineRule="auto"/>
        <w:ind w:firstLine="437"/>
        <w:outlineLvl w:val="1"/>
        <w:rPr>
          <w:rFonts w:hint="eastAsia" w:asciiTheme="minorEastAsia" w:hAnsiTheme="minorEastAsia" w:eastAsiaTheme="minorEastAsia"/>
          <w:b/>
          <w:sz w:val="24"/>
          <w:highlight w:val="none"/>
        </w:rPr>
      </w:pPr>
      <w:bookmarkStart w:id="54" w:name="_Toc28533"/>
      <w:bookmarkStart w:id="55" w:name="_Toc27343"/>
      <w:r>
        <w:rPr>
          <w:rFonts w:hint="eastAsia" w:asciiTheme="minorEastAsia" w:hAnsiTheme="minorEastAsia" w:eastAsiaTheme="minorEastAsia"/>
          <w:b/>
          <w:sz w:val="24"/>
          <w:highlight w:val="none"/>
        </w:rPr>
        <w:t>二、评标方法</w:t>
      </w:r>
      <w:bookmarkEnd w:id="54"/>
      <w:bookmarkEnd w:id="55"/>
    </w:p>
    <w:p w14:paraId="1D7358C0">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2.1资格审查</w:t>
      </w:r>
    </w:p>
    <w:tbl>
      <w:tblPr>
        <w:tblStyle w:val="2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632"/>
        <w:gridCol w:w="4234"/>
        <w:gridCol w:w="2171"/>
      </w:tblGrid>
      <w:tr w14:paraId="11C4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000" w:type="pct"/>
            <w:gridSpan w:val="4"/>
            <w:tcBorders>
              <w:bottom w:val="single" w:color="auto" w:sz="4" w:space="0"/>
            </w:tcBorders>
            <w:vAlign w:val="center"/>
          </w:tcPr>
          <w:p w14:paraId="6D2078B7">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b/>
                <w:sz w:val="24"/>
                <w:szCs w:val="22"/>
                <w:highlight w:val="none"/>
              </w:rPr>
              <w:t>资格审查表</w:t>
            </w:r>
          </w:p>
        </w:tc>
      </w:tr>
      <w:tr w14:paraId="5C7B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70" w:type="pct"/>
            <w:tcBorders>
              <w:bottom w:val="single" w:color="auto" w:sz="4" w:space="0"/>
            </w:tcBorders>
            <w:vAlign w:val="center"/>
          </w:tcPr>
          <w:p w14:paraId="27ACA2A2">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序号</w:t>
            </w:r>
          </w:p>
        </w:tc>
        <w:tc>
          <w:tcPr>
            <w:tcW w:w="940" w:type="pct"/>
            <w:tcBorders>
              <w:bottom w:val="single" w:color="auto" w:sz="4" w:space="0"/>
            </w:tcBorders>
            <w:vAlign w:val="center"/>
          </w:tcPr>
          <w:p w14:paraId="24E7D5C1">
            <w:pPr>
              <w:pStyle w:val="45"/>
              <w:keepNext w:val="0"/>
              <w:keepLines w:val="0"/>
              <w:pageBreakBefore w:val="0"/>
              <w:widowControl w:val="0"/>
              <w:pBdr>
                <w:bottom w:val="none" w:color="auto" w:sz="0" w:space="0"/>
              </w:pBdr>
              <w:tabs>
                <w:tab w:val="clear" w:pos="4153"/>
                <w:tab w:val="clear" w:pos="8306"/>
              </w:tabs>
              <w:kinsoku/>
              <w:overflowPunct/>
              <w:topLinePunct w:val="0"/>
              <w:autoSpaceDE/>
              <w:autoSpaceDN/>
              <w:bidi w:val="0"/>
              <w:snapToGrid w:val="0"/>
              <w:spacing w:line="240" w:lineRule="auto"/>
              <w:ind w:right="-10"/>
              <w:textAlignment w:val="auto"/>
              <w:rPr>
                <w:rFonts w:hint="eastAsia" w:ascii="宋体" w:hAnsi="宋体" w:eastAsia="宋体"/>
                <w:kern w:val="2"/>
                <w:szCs w:val="24"/>
                <w:highlight w:val="none"/>
              </w:rPr>
            </w:pPr>
            <w:r>
              <w:rPr>
                <w:rFonts w:hint="eastAsia" w:ascii="宋体" w:hAnsi="宋体" w:eastAsia="宋体"/>
                <w:kern w:val="2"/>
                <w:szCs w:val="24"/>
                <w:highlight w:val="none"/>
              </w:rPr>
              <w:t>审查指标</w:t>
            </w:r>
          </w:p>
        </w:tc>
        <w:tc>
          <w:tcPr>
            <w:tcW w:w="2439" w:type="pct"/>
            <w:tcBorders>
              <w:bottom w:val="single" w:color="auto" w:sz="4" w:space="0"/>
            </w:tcBorders>
            <w:vAlign w:val="center"/>
          </w:tcPr>
          <w:p w14:paraId="6D0009BA">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审查标准</w:t>
            </w:r>
          </w:p>
        </w:tc>
        <w:tc>
          <w:tcPr>
            <w:tcW w:w="1250" w:type="pct"/>
            <w:tcBorders>
              <w:bottom w:val="single" w:color="auto" w:sz="4" w:space="0"/>
            </w:tcBorders>
            <w:vAlign w:val="center"/>
          </w:tcPr>
          <w:p w14:paraId="358222C0">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格式要求</w:t>
            </w:r>
          </w:p>
        </w:tc>
      </w:tr>
      <w:tr w14:paraId="6C06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370" w:type="pct"/>
            <w:tcBorders>
              <w:bottom w:val="single" w:color="auto" w:sz="4" w:space="0"/>
            </w:tcBorders>
            <w:vAlign w:val="center"/>
          </w:tcPr>
          <w:p w14:paraId="1A766F4A">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1</w:t>
            </w:r>
          </w:p>
        </w:tc>
        <w:tc>
          <w:tcPr>
            <w:tcW w:w="940" w:type="pct"/>
            <w:tcBorders>
              <w:bottom w:val="single" w:color="auto" w:sz="4" w:space="0"/>
            </w:tcBorders>
            <w:vAlign w:val="center"/>
          </w:tcPr>
          <w:p w14:paraId="4C982DFE">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439" w:type="pct"/>
            <w:tcBorders>
              <w:bottom w:val="single" w:color="auto" w:sz="4" w:space="0"/>
            </w:tcBorders>
            <w:vAlign w:val="center"/>
          </w:tcPr>
          <w:p w14:paraId="05294763">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1BA459D7">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0B173B6A">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154F0EBA">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14F4B869">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（5）</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rPr>
              <w:t>；</w:t>
            </w:r>
          </w:p>
        </w:tc>
        <w:tc>
          <w:tcPr>
            <w:tcW w:w="1250" w:type="pct"/>
            <w:vAlign w:val="center"/>
          </w:tcPr>
          <w:p w14:paraId="0B534886">
            <w:pPr>
              <w:pStyle w:val="21"/>
              <w:keepNext w:val="0"/>
              <w:keepLines w:val="0"/>
              <w:pageBreakBefore w:val="0"/>
              <w:widowControl w:val="0"/>
              <w:kinsoku/>
              <w:overflowPunct/>
              <w:topLinePunct w:val="0"/>
              <w:autoSpaceDE/>
              <w:autoSpaceDN/>
              <w:bidi w:val="0"/>
              <w:spacing w:before="0" w:beforeAutospacing="0" w:after="0" w:afterAutospacing="0" w:line="240" w:lineRule="auto"/>
              <w:jc w:val="center"/>
              <w:textAlignment w:val="auto"/>
              <w:rPr>
                <w:rFonts w:hint="eastAsia"/>
                <w:highlight w:val="none"/>
              </w:rPr>
            </w:pPr>
            <w:r>
              <w:rPr>
                <w:rFonts w:hint="eastAsia" w:ascii="宋体" w:hAnsi="宋体" w:eastAsia="宋体" w:cs="宋体"/>
                <w:color w:val="000000"/>
                <w:szCs w:val="24"/>
                <w:highlight w:val="none"/>
              </w:rPr>
              <w:t>提供材料复印件加盖公章</w:t>
            </w:r>
          </w:p>
          <w:p w14:paraId="1511EEE2">
            <w:pPr>
              <w:keepNext w:val="0"/>
              <w:keepLines w:val="0"/>
              <w:pageBreakBefore w:val="0"/>
              <w:widowControl w:val="0"/>
              <w:kinsoku/>
              <w:overflowPunct/>
              <w:topLinePunct w:val="0"/>
              <w:autoSpaceDE/>
              <w:autoSpaceDN/>
              <w:bidi w:val="0"/>
              <w:spacing w:line="240" w:lineRule="auto"/>
              <w:jc w:val="left"/>
              <w:textAlignment w:val="auto"/>
              <w:rPr>
                <w:rFonts w:hint="eastAsia" w:ascii="宋体" w:hAnsi="宋体" w:eastAsia="宋体"/>
                <w:sz w:val="24"/>
                <w:highlight w:val="none"/>
              </w:rPr>
            </w:pPr>
          </w:p>
        </w:tc>
      </w:tr>
      <w:tr w14:paraId="461B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70" w:type="pct"/>
            <w:tcBorders>
              <w:bottom w:val="single" w:color="auto" w:sz="4" w:space="0"/>
            </w:tcBorders>
            <w:vAlign w:val="center"/>
          </w:tcPr>
          <w:p w14:paraId="42629C24">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2</w:t>
            </w:r>
          </w:p>
        </w:tc>
        <w:tc>
          <w:tcPr>
            <w:tcW w:w="940" w:type="pct"/>
            <w:tcBorders>
              <w:bottom w:val="single" w:color="auto" w:sz="4" w:space="0"/>
            </w:tcBorders>
            <w:vAlign w:val="center"/>
          </w:tcPr>
          <w:p w14:paraId="5C0CD8EF">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hint="eastAsia" w:ascii="宋体" w:hAnsi="宋体" w:eastAsia="宋体"/>
                <w:sz w:val="24"/>
                <w:szCs w:val="18"/>
                <w:highlight w:val="none"/>
              </w:rPr>
              <w:t>投标人资格声明书</w:t>
            </w:r>
          </w:p>
        </w:tc>
        <w:tc>
          <w:tcPr>
            <w:tcW w:w="2439" w:type="pct"/>
            <w:tcBorders>
              <w:bottom w:val="single" w:color="auto" w:sz="4" w:space="0"/>
            </w:tcBorders>
            <w:vAlign w:val="center"/>
          </w:tcPr>
          <w:p w14:paraId="73EB2A14">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rPr>
              <w:t>。</w:t>
            </w:r>
          </w:p>
        </w:tc>
        <w:tc>
          <w:tcPr>
            <w:tcW w:w="1250" w:type="pct"/>
            <w:vAlign w:val="center"/>
          </w:tcPr>
          <w:p w14:paraId="1FBA38A1">
            <w:pPr>
              <w:keepNext w:val="0"/>
              <w:keepLines w:val="0"/>
              <w:pageBreakBefore w:val="0"/>
              <w:widowControl w:val="0"/>
              <w:kinsoku/>
              <w:overflowPunct/>
              <w:topLinePunct w:val="0"/>
              <w:autoSpaceDE/>
              <w:autoSpaceDN/>
              <w:bidi w:val="0"/>
              <w:spacing w:line="240" w:lineRule="auto"/>
              <w:jc w:val="left"/>
              <w:textAlignment w:val="auto"/>
              <w:rPr>
                <w:rFonts w:hint="eastAsia" w:ascii="宋体" w:hAnsi="宋体" w:eastAsia="宋体" w:cs="宋体"/>
                <w:sz w:val="24"/>
                <w:szCs w:val="24"/>
                <w:highlight w:val="none"/>
              </w:rPr>
            </w:pPr>
            <w:r>
              <w:rPr>
                <w:rFonts w:hint="eastAsia" w:ascii="宋体" w:hAnsi="宋体" w:eastAsia="宋体"/>
                <w:sz w:val="24"/>
                <w:highlight w:val="none"/>
              </w:rPr>
              <w:t>详见第六章投标文件格式</w:t>
            </w:r>
          </w:p>
        </w:tc>
      </w:tr>
      <w:tr w14:paraId="4A68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370" w:type="pct"/>
            <w:vAlign w:val="center"/>
          </w:tcPr>
          <w:p w14:paraId="1D7D9CDE">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rPr>
            </w:pPr>
            <w:r>
              <w:rPr>
                <w:rFonts w:hint="eastAsia" w:ascii="宋体" w:hAnsi="宋体" w:eastAsia="宋体"/>
                <w:sz w:val="24"/>
                <w:highlight w:val="none"/>
              </w:rPr>
              <w:t>3</w:t>
            </w:r>
          </w:p>
        </w:tc>
        <w:tc>
          <w:tcPr>
            <w:tcW w:w="940" w:type="pct"/>
            <w:vAlign w:val="center"/>
          </w:tcPr>
          <w:p w14:paraId="76F7B4E8">
            <w:pPr>
              <w:keepNext w:val="0"/>
              <w:keepLines w:val="0"/>
              <w:pageBreakBefore w:val="0"/>
              <w:widowControl w:val="0"/>
              <w:kinsoku/>
              <w:overflowPunct/>
              <w:topLinePunct w:val="0"/>
              <w:autoSpaceDE/>
              <w:autoSpaceDN/>
              <w:bidi w:val="0"/>
              <w:spacing w:after="50" w:line="240" w:lineRule="auto"/>
              <w:ind w:right="-10"/>
              <w:jc w:val="center"/>
              <w:textAlignment w:val="auto"/>
              <w:rPr>
                <w:rFonts w:hint="eastAsia" w:ascii="宋体" w:hAnsi="宋体" w:eastAsia="宋体"/>
                <w:sz w:val="24"/>
                <w:szCs w:val="28"/>
                <w:highlight w:val="none"/>
              </w:rPr>
            </w:pPr>
            <w:r>
              <w:rPr>
                <w:rFonts w:hint="eastAsia" w:ascii="宋体" w:hAnsi="宋体" w:eastAsia="宋体" w:cs="宋体"/>
                <w:sz w:val="24"/>
                <w:szCs w:val="24"/>
                <w:highlight w:val="none"/>
              </w:rPr>
              <w:t>投标人信用记录</w:t>
            </w:r>
          </w:p>
        </w:tc>
        <w:tc>
          <w:tcPr>
            <w:tcW w:w="2439" w:type="pct"/>
            <w:vAlign w:val="center"/>
          </w:tcPr>
          <w:p w14:paraId="17E41455">
            <w:pPr>
              <w:keepNext w:val="0"/>
              <w:keepLines w:val="0"/>
              <w:pageBreakBefore w:val="0"/>
              <w:widowControl w:val="0"/>
              <w:kinsoku/>
              <w:overflowPunct/>
              <w:topLinePunct w:val="0"/>
              <w:autoSpaceDE/>
              <w:autoSpaceDN/>
              <w:bidi w:val="0"/>
              <w:spacing w:after="50" w:line="240" w:lineRule="auto"/>
              <w:ind w:right="-10"/>
              <w:jc w:val="left"/>
              <w:textAlignment w:val="auto"/>
              <w:rPr>
                <w:rFonts w:hint="eastAsia"/>
                <w:highlight w:val="none"/>
              </w:rPr>
            </w:pPr>
            <w:r>
              <w:rPr>
                <w:rFonts w:hint="eastAsia" w:ascii="宋体" w:hAnsi="宋体" w:eastAsia="宋体" w:cs="宋体"/>
                <w:sz w:val="24"/>
                <w:szCs w:val="24"/>
                <w:highlight w:val="none"/>
                <w:lang w:val="zh-CN"/>
              </w:rPr>
              <w:t>投标人不得存在“</w:t>
            </w:r>
            <w:r>
              <w:rPr>
                <w:rFonts w:hint="eastAsia" w:ascii="宋体" w:hAnsi="宋体" w:eastAsia="宋体" w:cs="宋体"/>
                <w:b/>
                <w:bCs/>
                <w:color w:val="000000" w:themeColor="text1"/>
                <w:sz w:val="24"/>
                <w:szCs w:val="24"/>
                <w:highlight w:val="none"/>
                <w:lang w:bidi="ar"/>
                <w14:textFill>
                  <w14:solidFill>
                    <w14:schemeClr w14:val="tx1"/>
                  </w14:solidFill>
                </w14:textFill>
              </w:rPr>
              <w:t>申请人的资格要求</w:t>
            </w:r>
            <w:r>
              <w:rPr>
                <w:rFonts w:hint="eastAsia" w:ascii="宋体" w:hAnsi="宋体" w:eastAsia="宋体" w:cs="宋体"/>
                <w:b/>
                <w:bCs/>
                <w:color w:val="000000" w:themeColor="text1"/>
                <w:sz w:val="24"/>
                <w:szCs w:val="24"/>
                <w:highlight w:val="none"/>
                <w:lang w:val="en-US" w:eastAsia="zh-CN" w:bidi="ar"/>
                <w14:textFill>
                  <w14:solidFill>
                    <w14:schemeClr w14:val="tx1"/>
                  </w14:solidFill>
                </w14:textFill>
              </w:rPr>
              <w:t>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250" w:type="pct"/>
            <w:vAlign w:val="center"/>
          </w:tcPr>
          <w:p w14:paraId="666AE4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w:t>
            </w:r>
            <w:r>
              <w:rPr>
                <w:rFonts w:hint="eastAsia" w:ascii="宋体" w:hAnsi="宋体" w:eastAsia="宋体" w:cs="宋体"/>
                <w:sz w:val="24"/>
                <w:szCs w:val="24"/>
                <w:highlight w:val="none"/>
              </w:rPr>
              <w:t>提供诚信投标承诺书</w:t>
            </w:r>
            <w:r>
              <w:rPr>
                <w:rFonts w:hint="eastAsia" w:ascii="宋体" w:hAnsi="宋体" w:eastAsia="宋体" w:cs="宋体"/>
                <w:color w:val="auto"/>
                <w:sz w:val="24"/>
                <w:szCs w:val="24"/>
                <w:highlight w:val="none"/>
                <w:lang w:val="en-US" w:eastAsia="zh-CN"/>
              </w:rPr>
              <w:t>；</w:t>
            </w:r>
          </w:p>
          <w:p w14:paraId="7D07E55E">
            <w:pPr>
              <w:keepNext w:val="0"/>
              <w:keepLines w:val="0"/>
              <w:pageBreakBefore w:val="0"/>
              <w:widowControl w:val="0"/>
              <w:kinsoku/>
              <w:wordWrap w:val="0"/>
              <w:overflowPunct/>
              <w:topLinePunct w:val="0"/>
              <w:autoSpaceDE/>
              <w:autoSpaceDN/>
              <w:bidi w:val="0"/>
              <w:spacing w:line="240" w:lineRule="auto"/>
              <w:jc w:val="left"/>
              <w:textAlignment w:val="auto"/>
              <w:rPr>
                <w:rFonts w:hint="eastAsia"/>
                <w:highlight w:val="none"/>
              </w:rPr>
            </w:pPr>
            <w:r>
              <w:rPr>
                <w:rFonts w:hint="eastAsia" w:ascii="宋体" w:hAnsi="宋体" w:eastAsia="宋体" w:cs="宋体"/>
                <w:color w:val="auto"/>
                <w:sz w:val="24"/>
                <w:szCs w:val="24"/>
                <w:highlight w:val="none"/>
              </w:rPr>
              <w:t>采购人或采购代理机构查询</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w:t>
            </w:r>
            <w:r>
              <w:rPr>
                <w:rFonts w:hint="eastAsia" w:ascii="宋体" w:hAnsi="宋体" w:eastAsia="宋体" w:cs="宋体"/>
                <w:color w:val="auto"/>
                <w:sz w:val="24"/>
                <w:szCs w:val="24"/>
                <w:highlight w:val="none"/>
                <w:lang w:val="en-US" w:eastAsia="zh-CN"/>
              </w:rPr>
              <w:t>情形</w:t>
            </w:r>
            <w:r>
              <w:rPr>
                <w:rFonts w:hint="eastAsia" w:ascii="宋体" w:hAnsi="宋体" w:eastAsia="宋体" w:cs="宋体"/>
                <w:color w:val="auto"/>
                <w:sz w:val="24"/>
                <w:szCs w:val="24"/>
                <w:highlight w:val="none"/>
              </w:rPr>
              <w:t>。</w:t>
            </w:r>
          </w:p>
        </w:tc>
      </w:tr>
      <w:tr w14:paraId="62FC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70" w:type="pct"/>
            <w:vAlign w:val="center"/>
          </w:tcPr>
          <w:p w14:paraId="4687B648">
            <w:pPr>
              <w:keepNext w:val="0"/>
              <w:keepLines w:val="0"/>
              <w:pageBreakBefore w:val="0"/>
              <w:widowControl w:val="0"/>
              <w:kinsoku/>
              <w:overflowPunct/>
              <w:topLinePunct w:val="0"/>
              <w:autoSpaceDE/>
              <w:autoSpaceDN/>
              <w:bidi w:val="0"/>
              <w:adjustRightInd w:val="0"/>
              <w:snapToGrid w:val="0"/>
              <w:spacing w:line="240" w:lineRule="auto"/>
              <w:ind w:right="-10"/>
              <w:jc w:val="center"/>
              <w:textAlignment w:val="auto"/>
              <w:rPr>
                <w:rFonts w:hint="eastAsia" w:ascii="宋体" w:hAnsi="宋体" w:eastAsia="宋体"/>
                <w:sz w:val="24"/>
                <w:highlight w:val="none"/>
                <w:lang w:val="en-US" w:eastAsia="zh-CN"/>
              </w:rPr>
            </w:pPr>
            <w:bookmarkStart w:id="56" w:name="_Hlk16461707"/>
            <w:r>
              <w:rPr>
                <w:rFonts w:hint="eastAsia" w:ascii="宋体" w:hAnsi="宋体" w:eastAsia="宋体"/>
                <w:sz w:val="24"/>
                <w:highlight w:val="none"/>
                <w:lang w:val="en-US" w:eastAsia="zh-CN"/>
              </w:rPr>
              <w:t>4</w:t>
            </w:r>
          </w:p>
        </w:tc>
        <w:tc>
          <w:tcPr>
            <w:tcW w:w="940" w:type="pct"/>
            <w:vAlign w:val="center"/>
          </w:tcPr>
          <w:p w14:paraId="042F4F28">
            <w:pPr>
              <w:keepNext w:val="0"/>
              <w:keepLines w:val="0"/>
              <w:suppressLineNumbers w:val="0"/>
              <w:spacing w:before="0" w:beforeAutospacing="0" w:after="50" w:afterAutospacing="0" w:line="360" w:lineRule="auto"/>
              <w:ind w:left="0" w:leftChars="0" w:right="-10" w:rightChars="0"/>
              <w:jc w:val="center"/>
              <w:rPr>
                <w:rFonts w:hint="eastAsia" w:ascii="宋体" w:hAnsi="宋体" w:eastAsia="宋体" w:cs="宋体"/>
                <w:sz w:val="24"/>
                <w:szCs w:val="24"/>
                <w:highlight w:val="none"/>
              </w:rPr>
            </w:pPr>
            <w:r>
              <w:rPr>
                <w:rFonts w:hint="default" w:ascii="宋体" w:hAnsi="宋体" w:eastAsia="宋体" w:cs="宋体"/>
                <w:spacing w:val="10"/>
                <w:sz w:val="24"/>
                <w:szCs w:val="24"/>
              </w:rPr>
              <w:t>其他特定资格要求</w:t>
            </w:r>
          </w:p>
        </w:tc>
        <w:tc>
          <w:tcPr>
            <w:tcW w:w="2439" w:type="pct"/>
            <w:vAlign w:val="top"/>
          </w:tcPr>
          <w:p w14:paraId="2C733A05">
            <w:pPr>
              <w:keepNext w:val="0"/>
              <w:keepLines w:val="0"/>
              <w:suppressLineNumbers w:val="0"/>
              <w:spacing w:before="0" w:beforeAutospacing="0" w:after="50" w:afterAutospacing="0" w:line="360" w:lineRule="auto"/>
              <w:ind w:left="0" w:leftChars="0" w:right="-10" w:rightChars="0"/>
              <w:jc w:val="left"/>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rPr>
              <w:t>具体要求</w:t>
            </w:r>
            <w:r>
              <w:rPr>
                <w:rFonts w:ascii="宋体" w:hAnsi="宋体" w:eastAsia="宋体" w:cs="宋体"/>
                <w:color w:val="auto"/>
                <w:spacing w:val="10"/>
                <w:sz w:val="24"/>
                <w:szCs w:val="24"/>
                <w:highlight w:val="none"/>
              </w:rPr>
              <w:t>见第一章《投标邀请》</w:t>
            </w:r>
            <w:r>
              <w:rPr>
                <w:rFonts w:hint="eastAsia" w:ascii="宋体" w:hAnsi="宋体" w:eastAsia="宋体" w:cs="宋体"/>
                <w:spacing w:val="10"/>
                <w:sz w:val="24"/>
                <w:szCs w:val="24"/>
                <w:lang w:val="en-US" w:eastAsia="zh-CN"/>
              </w:rPr>
              <w:t>。</w:t>
            </w:r>
          </w:p>
        </w:tc>
        <w:tc>
          <w:tcPr>
            <w:tcW w:w="1250" w:type="pct"/>
            <w:vAlign w:val="center"/>
          </w:tcPr>
          <w:p w14:paraId="6585DD18">
            <w:pPr>
              <w:pStyle w:val="21"/>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提供</w:t>
            </w:r>
            <w:r>
              <w:rPr>
                <w:rFonts w:hint="eastAsia" w:ascii="宋体" w:hAnsi="宋体" w:eastAsia="宋体" w:cs="宋体"/>
                <w:color w:val="000000"/>
                <w:sz w:val="24"/>
                <w:szCs w:val="24"/>
                <w:lang w:val="en-US" w:eastAsia="zh-CN"/>
              </w:rPr>
              <w:t>证书</w:t>
            </w:r>
            <w:r>
              <w:rPr>
                <w:rFonts w:hint="eastAsia" w:ascii="宋体" w:hAnsi="宋体" w:eastAsia="宋体" w:cs="宋体"/>
                <w:color w:val="000000"/>
                <w:sz w:val="24"/>
                <w:szCs w:val="24"/>
              </w:rPr>
              <w:t>材料复印件加盖公章</w:t>
            </w:r>
          </w:p>
        </w:tc>
      </w:tr>
    </w:tbl>
    <w:p w14:paraId="3B0AB150">
      <w:pPr>
        <w:spacing w:line="360" w:lineRule="auto"/>
        <w:ind w:firstLine="435"/>
        <w:rPr>
          <w:rFonts w:hint="eastAsia" w:asciiTheme="minorEastAsia" w:hAnsiTheme="minorEastAsia" w:eastAsiaTheme="minorEastAsia"/>
          <w:sz w:val="24"/>
          <w:highlight w:val="none"/>
        </w:rPr>
      </w:pPr>
      <w:r>
        <w:rPr>
          <w:rFonts w:hint="eastAsia" w:ascii="宋体" w:hAnsi="宋体" w:eastAsia="宋体"/>
          <w:b/>
          <w:bCs/>
          <w:sz w:val="24"/>
          <w:highlight w:val="none"/>
        </w:rPr>
        <w:t>资格审查指标通过标准：</w:t>
      </w:r>
      <w:r>
        <w:rPr>
          <w:rFonts w:hint="eastAsia" w:ascii="宋体" w:hAnsi="宋体" w:eastAsia="宋体"/>
          <w:sz w:val="24"/>
          <w:highlight w:val="none"/>
        </w:rPr>
        <w:t>投标人必须通过资格审查表中的全部评审指标。</w:t>
      </w:r>
    </w:p>
    <w:bookmarkEnd w:id="56"/>
    <w:p w14:paraId="24410F56">
      <w:pPr>
        <w:spacing w:line="360" w:lineRule="auto"/>
        <w:ind w:firstLine="437"/>
        <w:outlineLvl w:val="2"/>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2.2符合性审查</w:t>
      </w:r>
    </w:p>
    <w:p w14:paraId="6EF61A2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48B3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2552D31">
            <w:pPr>
              <w:adjustRightInd w:val="0"/>
              <w:snapToGrid w:val="0"/>
              <w:spacing w:line="360" w:lineRule="auto"/>
              <w:ind w:right="-10"/>
              <w:jc w:val="center"/>
              <w:rPr>
                <w:rFonts w:hint="eastAsia" w:ascii="宋体" w:hAnsi="宋体" w:eastAsia="宋体"/>
                <w:b/>
                <w:bCs/>
                <w:sz w:val="24"/>
                <w:highlight w:val="none"/>
              </w:rPr>
            </w:pPr>
            <w:r>
              <w:rPr>
                <w:rFonts w:hint="eastAsia" w:ascii="宋体" w:hAnsi="宋体" w:eastAsia="宋体"/>
                <w:b/>
                <w:bCs/>
                <w:sz w:val="24"/>
                <w:highlight w:val="none"/>
              </w:rPr>
              <w:t>符合性审查表</w:t>
            </w:r>
          </w:p>
        </w:tc>
      </w:tr>
      <w:tr w14:paraId="3A8E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2D86A88C">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序号</w:t>
            </w:r>
          </w:p>
        </w:tc>
        <w:tc>
          <w:tcPr>
            <w:tcW w:w="1242" w:type="pct"/>
            <w:tcBorders>
              <w:bottom w:val="single" w:color="auto" w:sz="4" w:space="0"/>
            </w:tcBorders>
            <w:vAlign w:val="center"/>
          </w:tcPr>
          <w:p w14:paraId="21FCCD7D">
            <w:pPr>
              <w:pStyle w:val="45"/>
              <w:pBdr>
                <w:bottom w:val="none" w:color="auto" w:sz="0" w:space="0"/>
              </w:pBdr>
              <w:tabs>
                <w:tab w:val="clear" w:pos="4153"/>
                <w:tab w:val="clear" w:pos="8306"/>
              </w:tabs>
              <w:snapToGrid w:val="0"/>
              <w:spacing w:line="360" w:lineRule="auto"/>
              <w:ind w:right="-10"/>
              <w:textAlignment w:val="auto"/>
              <w:rPr>
                <w:rFonts w:hint="eastAsia" w:ascii="宋体" w:hAnsi="宋体" w:eastAsia="宋体"/>
                <w:kern w:val="2"/>
                <w:highlight w:val="none"/>
              </w:rPr>
            </w:pPr>
            <w:r>
              <w:rPr>
                <w:rFonts w:hint="eastAsia" w:ascii="宋体" w:hAnsi="宋体" w:eastAsia="宋体"/>
                <w:kern w:val="2"/>
                <w:highlight w:val="none"/>
              </w:rPr>
              <w:t>审查指标</w:t>
            </w:r>
          </w:p>
        </w:tc>
        <w:tc>
          <w:tcPr>
            <w:tcW w:w="1835" w:type="pct"/>
            <w:tcBorders>
              <w:bottom w:val="single" w:color="auto" w:sz="4" w:space="0"/>
            </w:tcBorders>
            <w:vAlign w:val="center"/>
          </w:tcPr>
          <w:p w14:paraId="7A640AF3">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审查标准</w:t>
            </w:r>
          </w:p>
        </w:tc>
        <w:tc>
          <w:tcPr>
            <w:tcW w:w="1473" w:type="pct"/>
            <w:tcBorders>
              <w:bottom w:val="single" w:color="auto" w:sz="4" w:space="0"/>
            </w:tcBorders>
            <w:vAlign w:val="center"/>
          </w:tcPr>
          <w:p w14:paraId="6B05049C">
            <w:pPr>
              <w:adjustRightInd w:val="0"/>
              <w:snapToGrid w:val="0"/>
              <w:spacing w:line="360" w:lineRule="auto"/>
              <w:ind w:right="-10"/>
              <w:jc w:val="center"/>
              <w:rPr>
                <w:rFonts w:hint="eastAsia" w:ascii="宋体" w:hAnsi="宋体" w:eastAsia="宋体"/>
                <w:sz w:val="24"/>
                <w:highlight w:val="none"/>
              </w:rPr>
            </w:pPr>
            <w:r>
              <w:rPr>
                <w:rFonts w:hint="eastAsia" w:ascii="宋体" w:hAnsi="宋体" w:eastAsia="宋体"/>
                <w:sz w:val="24"/>
                <w:highlight w:val="none"/>
              </w:rPr>
              <w:t>格式要求</w:t>
            </w:r>
          </w:p>
        </w:tc>
      </w:tr>
      <w:tr w14:paraId="5549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2EB79BF">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p>
        </w:tc>
        <w:tc>
          <w:tcPr>
            <w:tcW w:w="1242" w:type="pct"/>
            <w:vAlign w:val="center"/>
          </w:tcPr>
          <w:p w14:paraId="6EAA605D">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highlight w:val="none"/>
              </w:rPr>
              <w:t>开标一览表</w:t>
            </w:r>
          </w:p>
        </w:tc>
        <w:tc>
          <w:tcPr>
            <w:tcW w:w="1835" w:type="pct"/>
            <w:vAlign w:val="center"/>
          </w:tcPr>
          <w:p w14:paraId="193FB0AC">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3B6964B7">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0C57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041C68AE">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242" w:type="pct"/>
            <w:vAlign w:val="center"/>
          </w:tcPr>
          <w:p w14:paraId="50E88F36">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投标函</w:t>
            </w:r>
          </w:p>
        </w:tc>
        <w:tc>
          <w:tcPr>
            <w:tcW w:w="1835" w:type="pct"/>
            <w:vAlign w:val="center"/>
          </w:tcPr>
          <w:p w14:paraId="04CAE6B5">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77016A4B">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250C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BFF800C">
            <w:pPr>
              <w:adjustRightInd w:val="0"/>
              <w:snapToGrid w:val="0"/>
              <w:spacing w:line="360" w:lineRule="auto"/>
              <w:ind w:right="-10"/>
              <w:jc w:val="center"/>
              <w:rPr>
                <w:rFonts w:hint="eastAsia" w:asciiTheme="minorEastAsia" w:hAnsiTheme="minorEastAsia" w:eastAsiaTheme="minorEastAsia"/>
                <w:sz w:val="24"/>
                <w:highlight w:val="none"/>
              </w:rPr>
            </w:pPr>
            <w:r>
              <w:rPr>
                <w:rFonts w:asciiTheme="minorEastAsia" w:hAnsiTheme="minorEastAsia" w:eastAsiaTheme="minorEastAsia"/>
                <w:sz w:val="24"/>
                <w:highlight w:val="none"/>
              </w:rPr>
              <w:t>3</w:t>
            </w:r>
          </w:p>
        </w:tc>
        <w:tc>
          <w:tcPr>
            <w:tcW w:w="1242" w:type="pct"/>
            <w:vAlign w:val="center"/>
          </w:tcPr>
          <w:p w14:paraId="33E00229">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授权书</w:t>
            </w:r>
          </w:p>
        </w:tc>
        <w:tc>
          <w:tcPr>
            <w:tcW w:w="1835" w:type="pct"/>
            <w:vAlign w:val="center"/>
          </w:tcPr>
          <w:p w14:paraId="33BFA268">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格式、填写要求符合招标文件规定并加盖投标人公章</w:t>
            </w:r>
          </w:p>
        </w:tc>
        <w:tc>
          <w:tcPr>
            <w:tcW w:w="1473" w:type="pct"/>
            <w:vAlign w:val="center"/>
          </w:tcPr>
          <w:p w14:paraId="59C63C82">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法定代表人参加投标的无需此件，提供身份证明即可。详见第六章投标文件格式。</w:t>
            </w:r>
          </w:p>
        </w:tc>
      </w:tr>
      <w:tr w14:paraId="5C6D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D5D5AD9">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242" w:type="pct"/>
            <w:vAlign w:val="center"/>
          </w:tcPr>
          <w:p w14:paraId="61731038">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投标报价</w:t>
            </w:r>
          </w:p>
        </w:tc>
        <w:tc>
          <w:tcPr>
            <w:tcW w:w="1835" w:type="pct"/>
            <w:vAlign w:val="center"/>
          </w:tcPr>
          <w:p w14:paraId="164228EF">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Theme="minorEastAsia" w:hAnsiTheme="minorEastAsia" w:eastAsiaTheme="minorEastAsia"/>
                <w:sz w:val="24"/>
                <w:highlight w:val="none"/>
              </w:rPr>
              <w:t>招标文件投标人须知正文第9条要求</w:t>
            </w:r>
          </w:p>
        </w:tc>
        <w:tc>
          <w:tcPr>
            <w:tcW w:w="1473" w:type="pct"/>
            <w:vAlign w:val="center"/>
          </w:tcPr>
          <w:p w14:paraId="03292495">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4F9C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EB512E8">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w:t>
            </w:r>
          </w:p>
        </w:tc>
        <w:tc>
          <w:tcPr>
            <w:tcW w:w="1242" w:type="pct"/>
            <w:vAlign w:val="center"/>
          </w:tcPr>
          <w:p w14:paraId="63A339CD">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1835" w:type="pct"/>
            <w:vAlign w:val="center"/>
          </w:tcPr>
          <w:p w14:paraId="07ED606B">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符合招标文件采购需求中对付款方式、供货及安装期限、供货及安装地点、免费质保期等实质性要求</w:t>
            </w:r>
          </w:p>
        </w:tc>
        <w:tc>
          <w:tcPr>
            <w:tcW w:w="1473" w:type="pct"/>
            <w:vAlign w:val="center"/>
          </w:tcPr>
          <w:p w14:paraId="38988E69">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6AE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35531417">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w:t>
            </w:r>
          </w:p>
        </w:tc>
        <w:tc>
          <w:tcPr>
            <w:tcW w:w="1242" w:type="pct"/>
            <w:vAlign w:val="center"/>
          </w:tcPr>
          <w:p w14:paraId="4F368BA0">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技术响应情况</w:t>
            </w:r>
          </w:p>
        </w:tc>
        <w:tc>
          <w:tcPr>
            <w:tcW w:w="1835" w:type="pct"/>
            <w:vAlign w:val="center"/>
          </w:tcPr>
          <w:p w14:paraId="7A9747B9">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符合招标文件采购需求中货物技术参数等实质性要求</w:t>
            </w:r>
          </w:p>
        </w:tc>
        <w:tc>
          <w:tcPr>
            <w:tcW w:w="1473" w:type="pct"/>
            <w:vAlign w:val="center"/>
          </w:tcPr>
          <w:p w14:paraId="18A772CE">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详见第六章投标文件格式。</w:t>
            </w:r>
          </w:p>
        </w:tc>
      </w:tr>
      <w:tr w14:paraId="1F23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AD0D402">
            <w:pPr>
              <w:adjustRightInd w:val="0"/>
              <w:snapToGrid w:val="0"/>
              <w:spacing w:line="360" w:lineRule="auto"/>
              <w:ind w:right="-1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7</w:t>
            </w:r>
          </w:p>
        </w:tc>
        <w:tc>
          <w:tcPr>
            <w:tcW w:w="1242" w:type="pct"/>
            <w:vAlign w:val="center"/>
          </w:tcPr>
          <w:p w14:paraId="38623A27">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其他要求</w:t>
            </w:r>
          </w:p>
        </w:tc>
        <w:tc>
          <w:tcPr>
            <w:tcW w:w="1835" w:type="pct"/>
            <w:vAlign w:val="center"/>
          </w:tcPr>
          <w:p w14:paraId="2B5DB386">
            <w:pPr>
              <w:spacing w:after="50" w:line="360" w:lineRule="auto"/>
              <w:ind w:right="-10"/>
              <w:jc w:val="center"/>
              <w:rPr>
                <w:rFonts w:hint="eastAsia"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符合法律、行政法规规定的其他条件或招标文件列明的其他实质性要求</w:t>
            </w:r>
          </w:p>
        </w:tc>
        <w:tc>
          <w:tcPr>
            <w:tcW w:w="1473" w:type="pct"/>
            <w:vAlign w:val="center"/>
          </w:tcPr>
          <w:p w14:paraId="44BCEEDA">
            <w:pPr>
              <w:adjustRightInd w:val="0"/>
              <w:snapToGrid w:val="0"/>
              <w:spacing w:line="360" w:lineRule="auto"/>
              <w:ind w:right="-10"/>
              <w:jc w:val="center"/>
              <w:rPr>
                <w:rFonts w:hint="eastAsia" w:asciiTheme="minorEastAsia" w:hAnsiTheme="minorEastAsia" w:eastAsiaTheme="minorEastAsia"/>
                <w:sz w:val="24"/>
                <w:highlight w:val="none"/>
              </w:rPr>
            </w:pPr>
          </w:p>
        </w:tc>
      </w:tr>
    </w:tbl>
    <w:p w14:paraId="4034B30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b/>
          <w:bCs/>
          <w:sz w:val="24"/>
          <w:highlight w:val="none"/>
        </w:rPr>
        <w:t>符合性审查指标通过标准：</w:t>
      </w:r>
      <w:r>
        <w:rPr>
          <w:rFonts w:hint="eastAsia" w:asciiTheme="minorEastAsia" w:hAnsiTheme="minorEastAsia" w:eastAsiaTheme="minorEastAsia"/>
          <w:sz w:val="24"/>
          <w:highlight w:val="none"/>
        </w:rPr>
        <w:t>投标人必须通过符合性审查表中的全部评审指标。</w:t>
      </w:r>
    </w:p>
    <w:p w14:paraId="40C50D27">
      <w:pPr>
        <w:spacing w:line="360" w:lineRule="auto"/>
        <w:ind w:firstLine="435"/>
        <w:rPr>
          <w:rFonts w:hint="eastAsia" w:asciiTheme="minorEastAsia" w:hAnsiTheme="minorEastAsia" w:eastAsiaTheme="minorEastAsia"/>
          <w:sz w:val="24"/>
          <w:highlight w:val="none"/>
        </w:rPr>
      </w:pPr>
    </w:p>
    <w:p w14:paraId="04012129">
      <w:pPr>
        <w:widowControl/>
        <w:jc w:val="center"/>
        <w:rPr>
          <w:rFonts w:hint="eastAsia" w:asciiTheme="minorEastAsia" w:hAnsiTheme="minorEastAsia" w:eastAsiaTheme="minorEastAsia"/>
          <w:b/>
          <w:sz w:val="28"/>
          <w:highlight w:val="none"/>
        </w:rPr>
      </w:pPr>
      <w:bookmarkStart w:id="57" w:name="_Toc4682"/>
    </w:p>
    <w:p w14:paraId="67E8378A">
      <w:pPr>
        <w:widowControl/>
        <w:jc w:val="center"/>
        <w:rPr>
          <w:rFonts w:hint="eastAsia" w:asciiTheme="minorEastAsia" w:hAnsiTheme="minorEastAsia" w:eastAsiaTheme="minorEastAsia"/>
          <w:b/>
          <w:sz w:val="28"/>
          <w:highlight w:val="none"/>
        </w:rPr>
      </w:pPr>
    </w:p>
    <w:p w14:paraId="1272FB99">
      <w:pPr>
        <w:widowControl/>
        <w:jc w:val="center"/>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57"/>
    </w:p>
    <w:p w14:paraId="602AE290">
      <w:pPr>
        <w:pStyle w:val="9"/>
        <w:spacing w:after="0" w:line="360" w:lineRule="auto"/>
        <w:jc w:val="center"/>
        <w:rPr>
          <w:rFonts w:hint="eastAsia" w:ascii="宋体" w:hAnsi="宋体" w:eastAsia="宋体" w:cs="宋体"/>
          <w:b/>
          <w:bCs/>
          <w:spacing w:val="-20"/>
          <w:kern w:val="44"/>
          <w:sz w:val="24"/>
          <w:highlight w:val="none"/>
        </w:rPr>
      </w:pPr>
      <w:bookmarkStart w:id="58" w:name="_Toc22492"/>
    </w:p>
    <w:p w14:paraId="6842A12D">
      <w:pPr>
        <w:pStyle w:val="9"/>
        <w:spacing w:after="0" w:line="360" w:lineRule="auto"/>
        <w:jc w:val="center"/>
        <w:rPr>
          <w:rFonts w:hint="eastAsia" w:ascii="宋体" w:hAnsi="宋体" w:eastAsia="宋体" w:cs="宋体"/>
          <w:b/>
          <w:bCs/>
          <w:spacing w:val="-20"/>
          <w:kern w:val="44"/>
          <w:sz w:val="24"/>
          <w:highlight w:val="none"/>
        </w:rPr>
      </w:pPr>
    </w:p>
    <w:p w14:paraId="2CC27742">
      <w:pPr>
        <w:pStyle w:val="9"/>
        <w:spacing w:after="0" w:line="360" w:lineRule="auto"/>
        <w:jc w:val="center"/>
        <w:rPr>
          <w:rFonts w:hint="eastAsia" w:ascii="宋体" w:hAnsi="宋体" w:eastAsia="宋体" w:cs="宋体"/>
          <w:b/>
          <w:bCs/>
          <w:color w:val="000000" w:themeColor="text1"/>
          <w:spacing w:val="-20"/>
          <w:kern w:val="44"/>
          <w:sz w:val="24"/>
          <w14:textFill>
            <w14:solidFill>
              <w14:schemeClr w14:val="tx1"/>
            </w14:solidFill>
          </w14:textFill>
        </w:rPr>
      </w:pPr>
    </w:p>
    <w:p w14:paraId="5E4099F3">
      <w:pPr>
        <w:spacing w:line="480" w:lineRule="auto"/>
        <w:jc w:val="center"/>
        <w:outlineLvl w:val="1"/>
        <w:rPr>
          <w:rFonts w:hint="eastAsia" w:ascii="宋体" w:hAnsi="宋体" w:eastAsia="宋体" w:cs="Times New Roman"/>
          <w:b/>
          <w:color w:val="000000" w:themeColor="text1"/>
          <w:sz w:val="28"/>
          <w:szCs w:val="28"/>
          <w14:textFill>
            <w14:solidFill>
              <w14:schemeClr w14:val="tx1"/>
            </w14:solidFill>
          </w14:textFill>
        </w:rPr>
      </w:pPr>
      <w:bookmarkStart w:id="59" w:name="_Toc3714"/>
      <w:bookmarkStart w:id="60" w:name="_Toc7291"/>
      <w:r>
        <w:rPr>
          <w:rFonts w:ascii="宋体" w:hAnsi="宋体" w:eastAsia="宋体" w:cs="Times New Roman"/>
          <w:b/>
          <w:color w:val="000000" w:themeColor="text1"/>
          <w:sz w:val="28"/>
          <w:szCs w:val="28"/>
          <w14:textFill>
            <w14:solidFill>
              <w14:schemeClr w14:val="tx1"/>
            </w14:solidFill>
          </w14:textFill>
        </w:rPr>
        <w:t>政府采购合同</w:t>
      </w:r>
      <w:bookmarkEnd w:id="59"/>
      <w:r>
        <w:rPr>
          <w:rFonts w:hint="eastAsia" w:ascii="宋体" w:hAnsi="宋体" w:eastAsia="宋体" w:cs="Times New Roman"/>
          <w:b/>
          <w:color w:val="000000" w:themeColor="text1"/>
          <w:sz w:val="28"/>
          <w:szCs w:val="28"/>
          <w14:textFill>
            <w14:solidFill>
              <w14:schemeClr w14:val="tx1"/>
            </w14:solidFill>
          </w14:textFill>
        </w:rPr>
        <w:t>（参考）</w:t>
      </w:r>
      <w:bookmarkEnd w:id="60"/>
      <w:r>
        <w:rPr>
          <w:rFonts w:hint="eastAsia" w:ascii="宋体" w:hAnsi="宋体" w:eastAsia="宋体" w:cs="Times New Roman"/>
          <w:b/>
          <w:color w:val="000000" w:themeColor="text1"/>
          <w:sz w:val="28"/>
          <w:szCs w:val="28"/>
          <w14:textFill>
            <w14:solidFill>
              <w14:schemeClr w14:val="tx1"/>
            </w14:solidFill>
          </w14:textFill>
        </w:rPr>
        <w:t xml:space="preserve"> </w:t>
      </w:r>
    </w:p>
    <w:p w14:paraId="6F5EE3D4">
      <w:pPr>
        <w:spacing w:line="480" w:lineRule="auto"/>
        <w:jc w:val="center"/>
        <w:outlineLvl w:val="1"/>
        <w:rPr>
          <w:rFonts w:hint="eastAsia" w:ascii="宋体" w:hAnsi="宋体" w:eastAsia="宋体" w:cs="Times New Roman"/>
          <w:b/>
          <w:color w:val="000000" w:themeColor="text1"/>
          <w:sz w:val="28"/>
          <w:szCs w:val="28"/>
          <w14:textFill>
            <w14:solidFill>
              <w14:schemeClr w14:val="tx1"/>
            </w14:solidFill>
          </w14:textFill>
        </w:rPr>
      </w:pPr>
      <w:bookmarkStart w:id="61" w:name="_Toc8560"/>
      <w:bookmarkStart w:id="62" w:name="_Toc4812"/>
      <w:r>
        <w:rPr>
          <w:rFonts w:hint="eastAsia" w:ascii="宋体" w:hAnsi="宋体" w:eastAsia="宋体" w:cs="Times New Roman"/>
          <w:b/>
          <w:color w:val="000000" w:themeColor="text1"/>
          <w:sz w:val="28"/>
          <w:szCs w:val="28"/>
          <w14:textFill>
            <w14:solidFill>
              <w14:schemeClr w14:val="tx1"/>
            </w14:solidFill>
          </w14:textFill>
        </w:rPr>
        <w:t>（服务类）</w:t>
      </w:r>
      <w:bookmarkEnd w:id="61"/>
      <w:bookmarkEnd w:id="62"/>
    </w:p>
    <w:p w14:paraId="26573314">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7A4F51DD">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5004960D">
      <w:pPr>
        <w:spacing w:line="480" w:lineRule="auto"/>
        <w:jc w:val="center"/>
        <w:outlineLvl w:val="1"/>
        <w:rPr>
          <w:rFonts w:hint="eastAsia" w:ascii="宋体" w:hAnsi="宋体" w:eastAsia="宋体" w:cs="Times New Roman"/>
          <w:b/>
          <w:color w:val="000000" w:themeColor="text1"/>
          <w:sz w:val="28"/>
          <w:szCs w:val="28"/>
          <w14:textFill>
            <w14:solidFill>
              <w14:schemeClr w14:val="tx1"/>
            </w14:solidFill>
          </w14:textFill>
        </w:rPr>
      </w:pPr>
      <w:bookmarkStart w:id="63" w:name="_Toc2449"/>
      <w:bookmarkStart w:id="64" w:name="_Toc236"/>
      <w:r>
        <w:rPr>
          <w:rFonts w:hint="eastAsia" w:ascii="宋体" w:hAnsi="宋体" w:eastAsia="宋体" w:cs="Times New Roman"/>
          <w:b/>
          <w:color w:val="000000" w:themeColor="text1"/>
          <w:sz w:val="28"/>
          <w:szCs w:val="28"/>
          <w14:textFill>
            <w14:solidFill>
              <w14:schemeClr w14:val="tx1"/>
            </w14:solidFill>
          </w14:textFill>
        </w:rPr>
        <w:t xml:space="preserve">第一部分 </w:t>
      </w:r>
      <w:bookmarkEnd w:id="63"/>
      <w:r>
        <w:rPr>
          <w:rFonts w:hint="eastAsia" w:ascii="宋体" w:hAnsi="宋体" w:eastAsia="宋体" w:cs="Times New Roman"/>
          <w:b/>
          <w:color w:val="000000" w:themeColor="text1"/>
          <w:sz w:val="28"/>
          <w:szCs w:val="28"/>
          <w14:textFill>
            <w14:solidFill>
              <w14:schemeClr w14:val="tx1"/>
            </w14:solidFill>
          </w14:textFill>
        </w:rPr>
        <w:t>合同协议</w:t>
      </w:r>
      <w:bookmarkEnd w:id="64"/>
    </w:p>
    <w:p w14:paraId="5AFD59D9">
      <w:pPr>
        <w:spacing w:line="360" w:lineRule="auto"/>
        <w:jc w:val="center"/>
        <w:outlineLvl w:val="1"/>
        <w:rPr>
          <w:rFonts w:hint="eastAsia" w:ascii="宋体" w:hAnsi="宋体" w:eastAsia="宋体"/>
          <w:b/>
          <w:color w:val="000000" w:themeColor="text1"/>
          <w:sz w:val="24"/>
          <w14:textFill>
            <w14:solidFill>
              <w14:schemeClr w14:val="tx1"/>
            </w14:solidFill>
          </w14:textFill>
        </w:rPr>
      </w:pPr>
    </w:p>
    <w:p w14:paraId="446CAD9A">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184CC9A2">
      <w:pPr>
        <w:spacing w:line="480" w:lineRule="auto"/>
        <w:jc w:val="center"/>
        <w:rPr>
          <w:rFonts w:hint="eastAsia" w:ascii="宋体" w:hAnsi="宋体" w:eastAsia="宋体" w:cs="Times New Roman"/>
          <w:b/>
          <w:color w:val="000000" w:themeColor="text1"/>
          <w:sz w:val="24"/>
          <w:szCs w:val="24"/>
          <w14:textFill>
            <w14:solidFill>
              <w14:schemeClr w14:val="tx1"/>
            </w14:solidFill>
          </w14:textFill>
        </w:rPr>
      </w:pPr>
    </w:p>
    <w:p w14:paraId="54E019C7">
      <w:pPr>
        <w:pStyle w:val="9"/>
        <w:rPr>
          <w:rFonts w:hint="eastAsia"/>
          <w:color w:val="000000" w:themeColor="text1"/>
          <w14:textFill>
            <w14:solidFill>
              <w14:schemeClr w14:val="tx1"/>
            </w14:solidFill>
          </w14:textFill>
        </w:rPr>
      </w:pPr>
    </w:p>
    <w:p w14:paraId="3449BD89">
      <w:pPr>
        <w:pStyle w:val="9"/>
        <w:rPr>
          <w:rFonts w:hint="eastAsia"/>
          <w:color w:val="000000" w:themeColor="text1"/>
          <w14:textFill>
            <w14:solidFill>
              <w14:schemeClr w14:val="tx1"/>
            </w14:solidFill>
          </w14:textFill>
        </w:rPr>
      </w:pPr>
    </w:p>
    <w:p w14:paraId="0BF90D3C">
      <w:pPr>
        <w:spacing w:before="120" w:line="480" w:lineRule="auto"/>
        <w:ind w:left="960"/>
        <w:rPr>
          <w:rFonts w:hint="eastAsia" w:ascii="宋体" w:hAnsi="宋体" w:eastAsia="宋体" w:cs="Times New Roman"/>
          <w:color w:val="000000" w:themeColor="text1"/>
          <w:sz w:val="24"/>
          <w:szCs w:val="24"/>
          <w:u w:val="single"/>
          <w:lang w:eastAsia="zh-CN"/>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ascii="宋体" w:hAnsi="宋体" w:eastAsia="宋体" w:cs="Times New Roman"/>
          <w:color w:val="000000" w:themeColor="text1"/>
          <w:sz w:val="24"/>
          <w:szCs w:val="24"/>
          <w:u w:val="single"/>
          <w:lang w:eastAsia="zh-CN"/>
          <w14:textFill>
            <w14:solidFill>
              <w14:schemeClr w14:val="tx1"/>
            </w14:solidFill>
          </w14:textFill>
        </w:rPr>
        <w:t>滁州市第一人民医院北区CT维修、检查床和机架保养维修服务项目</w:t>
      </w:r>
    </w:p>
    <w:p w14:paraId="6C7D6FD1">
      <w:pPr>
        <w:spacing w:line="480" w:lineRule="auto"/>
        <w:ind w:firstLine="960" w:firstLineChars="4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p>
    <w:p w14:paraId="23378789">
      <w:pPr>
        <w:spacing w:before="120" w:line="480" w:lineRule="auto"/>
        <w:ind w:left="96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甲方（采购人）：</w:t>
      </w:r>
      <w:r>
        <w:rPr>
          <w:rFonts w:hint="eastAsia" w:ascii="宋体" w:hAnsi="宋体" w:eastAsia="宋体" w:cs="Times New Roman"/>
          <w:color w:val="000000" w:themeColor="text1"/>
          <w:sz w:val="24"/>
          <w:szCs w:val="24"/>
          <w:u w:val="single"/>
          <w14:textFill>
            <w14:solidFill>
              <w14:schemeClr w14:val="tx1"/>
            </w14:solidFill>
          </w14:textFill>
        </w:rPr>
        <w:t>滁州市第一人民医院</w:t>
      </w:r>
    </w:p>
    <w:p w14:paraId="245747BF">
      <w:pPr>
        <w:spacing w:before="120" w:line="480" w:lineRule="auto"/>
        <w:ind w:left="96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乙方（中标人）：</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p>
    <w:p w14:paraId="43682DF9">
      <w:pPr>
        <w:spacing w:before="120" w:line="480" w:lineRule="auto"/>
        <w:ind w:firstLine="960" w:firstLineChars="400"/>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签订地：</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p>
    <w:p w14:paraId="0EB87D28">
      <w:pPr>
        <w:spacing w:before="120" w:line="480" w:lineRule="auto"/>
        <w:ind w:firstLine="960" w:firstLineChars="400"/>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签订日期：</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年</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月</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日</w:t>
      </w:r>
    </w:p>
    <w:p w14:paraId="56A616E3">
      <w:pPr>
        <w:widowControl/>
        <w:jc w:val="left"/>
        <w:rPr>
          <w:rFonts w:hint="eastAsia" w:ascii="宋体" w:hAnsi="宋体" w:eastAsia="宋体" w:cs="Times New Roman"/>
          <w:color w:val="000000" w:themeColor="text1"/>
          <w:sz w:val="24"/>
          <w:szCs w:val="24"/>
          <w14:textFill>
            <w14:solidFill>
              <w14:schemeClr w14:val="tx1"/>
            </w14:solidFill>
          </w14:textFill>
        </w:rPr>
      </w:pPr>
    </w:p>
    <w:p w14:paraId="3CC8D483">
      <w:pPr>
        <w:widowControl/>
        <w:jc w:val="left"/>
        <w:rPr>
          <w:rFonts w:hint="eastAsia" w:ascii="宋体" w:hAnsi="宋体" w:eastAsia="宋体" w:cs="Times New Roman"/>
          <w:color w:val="000000" w:themeColor="text1"/>
          <w:sz w:val="24"/>
          <w:szCs w:val="24"/>
          <w14:textFill>
            <w14:solidFill>
              <w14:schemeClr w14:val="tx1"/>
            </w14:solidFill>
          </w14:textFill>
        </w:rPr>
      </w:pPr>
    </w:p>
    <w:p w14:paraId="7F8D7B74">
      <w:pPr>
        <w:widowControl/>
        <w:jc w:val="left"/>
        <w:rPr>
          <w:rFonts w:hint="eastAsia"/>
          <w:color w:val="000000" w:themeColor="text1"/>
          <w14:textFill>
            <w14:solidFill>
              <w14:schemeClr w14:val="tx1"/>
            </w14:solidFill>
          </w14:textFill>
        </w:rPr>
      </w:pPr>
      <w:r>
        <w:rPr>
          <w:rFonts w:ascii="仿宋" w:hAnsi="仿宋" w:eastAsia="仿宋" w:cs="仿宋"/>
          <w:b/>
          <w:bCs/>
          <w:color w:val="000000" w:themeColor="text1"/>
          <w:kern w:val="0"/>
          <w:sz w:val="24"/>
          <w:szCs w:val="24"/>
          <w:lang w:bidi="ar"/>
          <w14:textFill>
            <w14:solidFill>
              <w14:schemeClr w14:val="tx1"/>
            </w14:solidFill>
          </w14:textFill>
        </w:rPr>
        <w:t>注：本合同仅为合同的参考文本，合同签订双方可根据项目的具体要求进行修订。</w:t>
      </w:r>
    </w:p>
    <w:p w14:paraId="71C6177C">
      <w:pPr>
        <w:widowControl/>
        <w:jc w:val="left"/>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p>
    <w:p w14:paraId="577FE41C">
      <w:pPr>
        <w:spacing w:line="360" w:lineRule="auto"/>
        <w:ind w:firstLine="435"/>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u w:val="single"/>
          <w14:textFill>
            <w14:solidFill>
              <w14:schemeClr w14:val="tx1"/>
            </w14:solidFill>
          </w14:textFill>
        </w:rPr>
        <w:t>滁州市第一人民医院</w:t>
      </w:r>
      <w:r>
        <w:rPr>
          <w:rFonts w:hint="eastAsia" w:ascii="宋体" w:hAnsi="宋体" w:eastAsia="宋体"/>
          <w:color w:val="000000" w:themeColor="text1"/>
          <w:sz w:val="24"/>
          <w14:textFill>
            <w14:solidFill>
              <w14:schemeClr w14:val="tx1"/>
            </w14:solidFill>
          </w14:textFill>
        </w:rPr>
        <w:t>（</w:t>
      </w:r>
      <w:r>
        <w:rPr>
          <w:rFonts w:hint="eastAsia" w:ascii="宋体" w:hAnsi="宋体" w:eastAsia="宋体" w:cs="Times New Roman"/>
          <w:color w:val="000000" w:themeColor="text1"/>
          <w:sz w:val="24"/>
          <w:szCs w:val="24"/>
          <w:lang w:val="zh-CN"/>
          <w14:textFill>
            <w14:solidFill>
              <w14:schemeClr w14:val="tx1"/>
            </w14:solidFill>
          </w14:textFill>
        </w:rPr>
        <w:t>以下简称：甲方</w:t>
      </w:r>
      <w:r>
        <w:rPr>
          <w:rFonts w:hint="eastAsia" w:ascii="宋体" w:hAnsi="宋体" w:eastAsia="宋体"/>
          <w:color w:val="000000" w:themeColor="text1"/>
          <w:sz w:val="24"/>
          <w14:textFill>
            <w14:solidFill>
              <w14:schemeClr w14:val="tx1"/>
            </w14:solidFill>
          </w14:textFill>
        </w:rPr>
        <w:t>）通过</w:t>
      </w:r>
      <w:r>
        <w:rPr>
          <w:rFonts w:hint="eastAsia" w:ascii="宋体" w:hAnsi="宋体" w:eastAsia="宋体"/>
          <w:color w:val="000000" w:themeColor="text1"/>
          <w:sz w:val="24"/>
          <w:u w:val="single"/>
          <w:lang w:eastAsia="zh-CN"/>
          <w14:textFill>
            <w14:solidFill>
              <w14:schemeClr w14:val="tx1"/>
            </w14:solidFill>
          </w14:textFill>
        </w:rPr>
        <w:t>滁州市第一人民医院北区CT维修、检查床和机架保养维修服务项目</w:t>
      </w:r>
      <w:r>
        <w:rPr>
          <w:rFonts w:hint="eastAsia"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组织的</w:t>
      </w:r>
      <w:r>
        <w:rPr>
          <w:rFonts w:hint="eastAsia" w:ascii="宋体" w:hAnsi="宋体" w:eastAsia="宋体"/>
          <w:color w:val="000000" w:themeColor="text1"/>
          <w:sz w:val="24"/>
          <w:u w:val="single"/>
          <w14:textFill>
            <w14:solidFill>
              <w14:schemeClr w14:val="tx1"/>
            </w14:solidFill>
          </w14:textFill>
        </w:rPr>
        <w:t>公开招标</w:t>
      </w:r>
      <w:r>
        <w:rPr>
          <w:rFonts w:hint="eastAsia" w:ascii="宋体" w:hAnsi="宋体" w:eastAsia="宋体"/>
          <w:color w:val="000000" w:themeColor="text1"/>
          <w:sz w:val="24"/>
          <w14:textFill>
            <w14:solidFill>
              <w14:schemeClr w14:val="tx1"/>
            </w14:solidFill>
          </w14:textFill>
        </w:rPr>
        <w:t>方式采购活动，经</w:t>
      </w:r>
      <w:r>
        <w:rPr>
          <w:rFonts w:hint="eastAsia" w:ascii="宋体" w:hAnsi="宋体" w:eastAsia="宋体"/>
          <w:color w:val="000000" w:themeColor="text1"/>
          <w:sz w:val="24"/>
          <w:u w:val="single"/>
          <w14:textFill>
            <w14:solidFill>
              <w14:schemeClr w14:val="tx1"/>
            </w14:solidFill>
          </w14:textFill>
        </w:rPr>
        <w:t>评标委员会</w:t>
      </w:r>
      <w:r>
        <w:rPr>
          <w:rFonts w:hint="eastAsia" w:ascii="宋体" w:hAnsi="宋体" w:eastAsia="宋体"/>
          <w:color w:val="000000" w:themeColor="text1"/>
          <w:sz w:val="24"/>
          <w14:textFill>
            <w14:solidFill>
              <w14:schemeClr w14:val="tx1"/>
            </w14:solidFill>
          </w14:textFill>
        </w:rPr>
        <w:t>评定，（</w:t>
      </w:r>
      <w:r>
        <w:rPr>
          <w:rFonts w:hint="eastAsia" w:ascii="宋体" w:hAnsi="宋体" w:eastAsia="宋体" w:cs="Times New Roman"/>
          <w:color w:val="000000" w:themeColor="text1"/>
          <w:sz w:val="24"/>
          <w:szCs w:val="24"/>
          <w:lang w:val="zh-CN"/>
          <w14:textFill>
            <w14:solidFill>
              <w14:schemeClr w14:val="tx1"/>
            </w14:solidFill>
          </w14:textFill>
        </w:rPr>
        <w:t>以下简称：乙方</w:t>
      </w:r>
      <w:r>
        <w:rPr>
          <w:rFonts w:hint="eastAsia" w:ascii="宋体" w:hAnsi="宋体" w:eastAsia="宋体"/>
          <w:color w:val="000000" w:themeColor="text1"/>
          <w:sz w:val="24"/>
          <w14:textFill>
            <w14:solidFill>
              <w14:schemeClr w14:val="tx1"/>
            </w14:solidFill>
          </w14:textFill>
        </w:rPr>
        <w:t>）为本项目中标人，现</w:t>
      </w:r>
      <w:r>
        <w:rPr>
          <w:rFonts w:hint="eastAsia" w:ascii="宋体" w:hAnsi="宋体" w:eastAsia="宋体" w:cs="Times New Roman"/>
          <w:color w:val="000000" w:themeColor="text1"/>
          <w:sz w:val="24"/>
          <w:szCs w:val="24"/>
          <w14:textFill>
            <w14:solidFill>
              <w14:schemeClr w14:val="tx1"/>
            </w14:solidFill>
          </w14:textFill>
        </w:rPr>
        <w:t>按照采购文件确定的事项签订本合同。</w:t>
      </w:r>
    </w:p>
    <w:p w14:paraId="605EEDF2">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34DB4CB5">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65" w:name="_Toc2232"/>
      <w:bookmarkStart w:id="66" w:name="_Toc24059"/>
      <w:bookmarkStart w:id="67" w:name="_Toc3029"/>
      <w:r>
        <w:rPr>
          <w:rFonts w:hint="eastAsia" w:ascii="宋体" w:hAnsi="宋体" w:eastAsia="宋体" w:cs="Times New Roman"/>
          <w:b/>
          <w:bCs/>
          <w:color w:val="000000" w:themeColor="text1"/>
          <w:sz w:val="24"/>
          <w:szCs w:val="24"/>
          <w:lang w:val="zh-CN"/>
          <w14:textFill>
            <w14:solidFill>
              <w14:schemeClr w14:val="tx1"/>
            </w14:solidFill>
          </w14:textFill>
        </w:rPr>
        <w:t>1.1合同组成部分</w:t>
      </w:r>
      <w:bookmarkEnd w:id="65"/>
      <w:bookmarkEnd w:id="66"/>
      <w:bookmarkEnd w:id="67"/>
    </w:p>
    <w:p w14:paraId="5C1A95E4">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02F53961">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1.1.1本合同及其补充合同、变更协议；</w:t>
      </w:r>
    </w:p>
    <w:p w14:paraId="14A6E0C8">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1.1.2中标通知书；</w:t>
      </w:r>
    </w:p>
    <w:p w14:paraId="610A2861">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1.1.3投标文件（含澄清或者说明文件）；</w:t>
      </w:r>
    </w:p>
    <w:p w14:paraId="5DBC0C45">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1.1.4招标文件（含澄清或者修改文件）；</w:t>
      </w:r>
    </w:p>
    <w:p w14:paraId="122F96A6">
      <w:pPr>
        <w:spacing w:line="360" w:lineRule="auto"/>
        <w:ind w:firstLine="435"/>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1.1.5其他相关采购文件。</w:t>
      </w:r>
    </w:p>
    <w:p w14:paraId="46B32124">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68" w:name="_Toc6311"/>
      <w:bookmarkStart w:id="69" w:name="_Toc22185"/>
      <w:bookmarkStart w:id="70" w:name="_Toc6773"/>
      <w:bookmarkStart w:id="71" w:name="_Toc2918"/>
      <w:bookmarkStart w:id="72" w:name="_Toc18585"/>
      <w:r>
        <w:rPr>
          <w:rFonts w:hint="eastAsia" w:ascii="宋体" w:hAnsi="宋体" w:eastAsia="宋体" w:cs="Times New Roman"/>
          <w:b/>
          <w:bCs/>
          <w:color w:val="000000" w:themeColor="text1"/>
          <w:sz w:val="24"/>
          <w:szCs w:val="24"/>
          <w:lang w:val="zh-CN"/>
          <w14:textFill>
            <w14:solidFill>
              <w14:schemeClr w14:val="tx1"/>
            </w14:solidFill>
          </w14:textFill>
        </w:rPr>
        <w:t xml:space="preserve">1.2 </w:t>
      </w:r>
      <w:bookmarkEnd w:id="68"/>
      <w:bookmarkEnd w:id="69"/>
      <w:bookmarkEnd w:id="70"/>
      <w:bookmarkEnd w:id="71"/>
      <w:bookmarkEnd w:id="72"/>
      <w:r>
        <w:rPr>
          <w:rFonts w:hint="eastAsia" w:ascii="宋体" w:hAnsi="宋体" w:eastAsia="宋体" w:cs="Times New Roman"/>
          <w:b/>
          <w:bCs/>
          <w:color w:val="000000" w:themeColor="text1"/>
          <w:sz w:val="24"/>
          <w:szCs w:val="24"/>
          <w:lang w:val="zh-CN"/>
          <w14:textFill>
            <w14:solidFill>
              <w14:schemeClr w14:val="tx1"/>
            </w14:solidFill>
          </w14:textFill>
        </w:rPr>
        <w:t>服务</w:t>
      </w:r>
    </w:p>
    <w:p w14:paraId="610B3CD1">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1.2.1服务</w:t>
      </w:r>
      <w:r>
        <w:rPr>
          <w:rFonts w:ascii="宋体" w:hAnsi="宋体" w:eastAsia="宋体" w:cs="Times New Roman"/>
          <w:color w:val="000000" w:themeColor="text1"/>
          <w:sz w:val="24"/>
          <w:szCs w:val="24"/>
          <w14:textFill>
            <w14:solidFill>
              <w14:schemeClr w14:val="tx1"/>
            </w14:solidFill>
          </w14:textFill>
        </w:rPr>
        <w:t>名称：</w:t>
      </w:r>
      <w:r>
        <w:rPr>
          <w:rFonts w:hint="eastAsia" w:ascii="宋体" w:hAnsi="宋体" w:eastAsia="宋体" w:cs="Times New Roman"/>
          <w:color w:val="000000" w:themeColor="text1"/>
          <w:sz w:val="24"/>
          <w:szCs w:val="24"/>
          <w:u w:val="single"/>
          <w:lang w:eastAsia="zh-CN"/>
          <w14:textFill>
            <w14:solidFill>
              <w14:schemeClr w14:val="tx1"/>
            </w14:solidFill>
          </w14:textFill>
        </w:rPr>
        <w:t>滁州市第一人民医院北区CT维修、检查床和机架保养维修服务项目</w:t>
      </w:r>
      <w:r>
        <w:rPr>
          <w:rFonts w:hint="eastAsia" w:ascii="宋体" w:hAnsi="宋体" w:eastAsia="宋体" w:cs="Times New Roman"/>
          <w:color w:val="000000" w:themeColor="text1"/>
          <w:sz w:val="24"/>
          <w:szCs w:val="24"/>
          <w14:textFill>
            <w14:solidFill>
              <w14:schemeClr w14:val="tx1"/>
            </w14:solidFill>
          </w14:textFill>
        </w:rPr>
        <w:t>；</w:t>
      </w:r>
    </w:p>
    <w:p w14:paraId="0728F67F">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1.2.2服务内容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49850E13">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1.2.3服务质量：</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1079C1A0">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73" w:name="_Toc23292"/>
      <w:bookmarkStart w:id="74" w:name="_Toc21631"/>
      <w:bookmarkStart w:id="75" w:name="_Toc21551"/>
      <w:r>
        <w:rPr>
          <w:rFonts w:hint="eastAsia" w:ascii="宋体" w:hAnsi="宋体" w:eastAsia="宋体" w:cs="Times New Roman"/>
          <w:b/>
          <w:bCs/>
          <w:color w:val="000000" w:themeColor="text1"/>
          <w:sz w:val="24"/>
          <w:szCs w:val="24"/>
          <w:lang w:val="zh-CN"/>
          <w14:textFill>
            <w14:solidFill>
              <w14:schemeClr w14:val="tx1"/>
            </w14:solidFill>
          </w14:textFill>
        </w:rPr>
        <w:t>1.</w:t>
      </w:r>
      <w:r>
        <w:rPr>
          <w:rFonts w:ascii="宋体" w:hAnsi="宋体" w:eastAsia="宋体" w:cs="Times New Roman"/>
          <w:b/>
          <w:bCs/>
          <w:color w:val="000000" w:themeColor="text1"/>
          <w:sz w:val="24"/>
          <w:szCs w:val="24"/>
          <w:lang w:val="zh-CN"/>
          <w14:textFill>
            <w14:solidFill>
              <w14:schemeClr w14:val="tx1"/>
            </w14:solidFill>
          </w14:textFill>
        </w:rPr>
        <w:t xml:space="preserve">3 </w:t>
      </w:r>
      <w:r>
        <w:rPr>
          <w:rFonts w:hint="eastAsia" w:ascii="宋体" w:hAnsi="宋体" w:eastAsia="宋体" w:cs="Times New Roman"/>
          <w:b/>
          <w:bCs/>
          <w:color w:val="000000" w:themeColor="text1"/>
          <w:sz w:val="24"/>
          <w:szCs w:val="24"/>
          <w:lang w:val="zh-CN"/>
          <w14:textFill>
            <w14:solidFill>
              <w14:schemeClr w14:val="tx1"/>
            </w14:solidFill>
          </w14:textFill>
        </w:rPr>
        <w:t>价款</w:t>
      </w:r>
      <w:bookmarkEnd w:id="73"/>
      <w:bookmarkEnd w:id="74"/>
      <w:bookmarkEnd w:id="75"/>
    </w:p>
    <w:p w14:paraId="2A05DEF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本合同总价为：￥</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元（大写：人民币</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元）。</w:t>
      </w:r>
    </w:p>
    <w:p w14:paraId="3E482471">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分项价格：</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40D4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70AAD40C">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序号</w:t>
            </w:r>
          </w:p>
        </w:tc>
        <w:tc>
          <w:tcPr>
            <w:tcW w:w="4316" w:type="dxa"/>
            <w:vAlign w:val="center"/>
          </w:tcPr>
          <w:p w14:paraId="6495B7C2">
            <w:pPr>
              <w:ind w:firstLine="20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分项名称</w:t>
            </w:r>
          </w:p>
        </w:tc>
        <w:tc>
          <w:tcPr>
            <w:tcW w:w="3237" w:type="dxa"/>
            <w:gridSpan w:val="2"/>
            <w:vAlign w:val="center"/>
          </w:tcPr>
          <w:p w14:paraId="5EB780CA">
            <w:pPr>
              <w:jc w:val="center"/>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分项价格</w:t>
            </w:r>
          </w:p>
        </w:tc>
      </w:tr>
      <w:tr w14:paraId="2EE4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B0F1B4C">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1</w:t>
            </w:r>
          </w:p>
        </w:tc>
        <w:tc>
          <w:tcPr>
            <w:tcW w:w="4316" w:type="dxa"/>
            <w:vAlign w:val="center"/>
          </w:tcPr>
          <w:p w14:paraId="4D970D1F">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36DF4849">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692A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205223AC">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2</w:t>
            </w:r>
          </w:p>
        </w:tc>
        <w:tc>
          <w:tcPr>
            <w:tcW w:w="4316" w:type="dxa"/>
            <w:vAlign w:val="center"/>
          </w:tcPr>
          <w:p w14:paraId="0A2F4FE9">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541949A0">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0A7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1C38C426">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ascii="宋体" w:hAnsi="宋体" w:eastAsia="宋体" w:cs="Times New Roman"/>
                <w:color w:val="000000" w:themeColor="text1"/>
                <w:sz w:val="24"/>
                <w:szCs w:val="24"/>
                <w:lang w:val="zh-CN"/>
                <w14:textFill>
                  <w14:solidFill>
                    <w14:schemeClr w14:val="tx1"/>
                  </w14:solidFill>
                </w14:textFill>
              </w:rPr>
              <w:t>3</w:t>
            </w:r>
          </w:p>
        </w:tc>
        <w:tc>
          <w:tcPr>
            <w:tcW w:w="4316" w:type="dxa"/>
            <w:vAlign w:val="center"/>
          </w:tcPr>
          <w:p w14:paraId="48C9B4EE">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7D2EE11A">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05F7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393514FA">
            <w:pPr>
              <w:jc w:val="center"/>
              <w:rPr>
                <w:rFonts w:hint="eastAsia" w:ascii="宋体" w:hAnsi="宋体" w:eastAsia="宋体" w:cs="Times New Roman"/>
                <w:color w:val="000000" w:themeColor="text1"/>
                <w:sz w:val="24"/>
                <w:szCs w:val="24"/>
                <w:lang w:val="zh-CN"/>
                <w14:textFill>
                  <w14:solidFill>
                    <w14:schemeClr w14:val="tx1"/>
                  </w14:solidFill>
                </w14:textFill>
              </w:rPr>
            </w:pPr>
            <w:r>
              <w:rPr>
                <w:rFonts w:hint="eastAsia" w:ascii="宋体" w:hAnsi="宋体" w:eastAsia="宋体" w:cs="Times New Roman"/>
                <w:color w:val="000000" w:themeColor="text1"/>
                <w:sz w:val="24"/>
                <w:szCs w:val="24"/>
                <w:lang w:val="zh-CN"/>
                <w14:textFill>
                  <w14:solidFill>
                    <w14:schemeClr w14:val="tx1"/>
                  </w14:solidFill>
                </w14:textFill>
              </w:rPr>
              <w:t>……</w:t>
            </w:r>
          </w:p>
        </w:tc>
        <w:tc>
          <w:tcPr>
            <w:tcW w:w="4316" w:type="dxa"/>
            <w:vAlign w:val="center"/>
          </w:tcPr>
          <w:p w14:paraId="44729961">
            <w:pPr>
              <w:ind w:firstLine="200"/>
              <w:jc w:val="center"/>
              <w:rPr>
                <w:rFonts w:hint="eastAsia" w:ascii="宋体" w:hAnsi="宋体" w:eastAsia="宋体" w:cs="Times New Roman"/>
                <w:color w:val="000000" w:themeColor="text1"/>
                <w:sz w:val="24"/>
                <w:szCs w:val="24"/>
                <w14:textFill>
                  <w14:solidFill>
                    <w14:schemeClr w14:val="tx1"/>
                  </w14:solidFill>
                </w14:textFill>
              </w:rPr>
            </w:pPr>
          </w:p>
        </w:tc>
        <w:tc>
          <w:tcPr>
            <w:tcW w:w="3237" w:type="dxa"/>
            <w:gridSpan w:val="2"/>
            <w:vAlign w:val="center"/>
          </w:tcPr>
          <w:p w14:paraId="7B7300EA">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r w14:paraId="25A4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73A0E7AC">
            <w:pPr>
              <w:ind w:firstLine="200"/>
              <w:jc w:val="center"/>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总价</w:t>
            </w:r>
          </w:p>
        </w:tc>
        <w:tc>
          <w:tcPr>
            <w:tcW w:w="3237" w:type="dxa"/>
            <w:gridSpan w:val="2"/>
            <w:vAlign w:val="center"/>
          </w:tcPr>
          <w:p w14:paraId="7EE4ABEA">
            <w:pPr>
              <w:ind w:firstLine="200"/>
              <w:jc w:val="center"/>
              <w:rPr>
                <w:rFonts w:hint="eastAsia" w:ascii="宋体" w:hAnsi="宋体" w:eastAsia="宋体" w:cs="Times New Roman"/>
                <w:color w:val="000000" w:themeColor="text1"/>
                <w:sz w:val="24"/>
                <w:szCs w:val="24"/>
                <w14:textFill>
                  <w14:solidFill>
                    <w14:schemeClr w14:val="tx1"/>
                  </w14:solidFill>
                </w14:textFill>
              </w:rPr>
            </w:pPr>
          </w:p>
        </w:tc>
      </w:tr>
    </w:tbl>
    <w:p w14:paraId="25BAE64C">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76" w:name="_Toc22618"/>
      <w:bookmarkStart w:id="77" w:name="_Toc1814"/>
      <w:bookmarkStart w:id="78" w:name="_Toc10340"/>
      <w:r>
        <w:rPr>
          <w:rFonts w:hint="eastAsia" w:ascii="宋体" w:hAnsi="宋体" w:eastAsia="宋体" w:cs="Times New Roman"/>
          <w:b/>
          <w:bCs/>
          <w:color w:val="000000" w:themeColor="text1"/>
          <w:sz w:val="24"/>
          <w:szCs w:val="24"/>
          <w:lang w:val="zh-CN"/>
          <w14:textFill>
            <w14:solidFill>
              <w14:schemeClr w14:val="tx1"/>
            </w14:solidFill>
          </w14:textFill>
        </w:rPr>
        <w:t>1.</w:t>
      </w:r>
      <w:r>
        <w:rPr>
          <w:rFonts w:ascii="宋体" w:hAnsi="宋体" w:eastAsia="宋体" w:cs="Times New Roman"/>
          <w:b/>
          <w:bCs/>
          <w:color w:val="000000" w:themeColor="text1"/>
          <w:sz w:val="24"/>
          <w:szCs w:val="24"/>
          <w:lang w:val="zh-CN"/>
          <w14:textFill>
            <w14:solidFill>
              <w14:schemeClr w14:val="tx1"/>
            </w14:solidFill>
          </w14:textFill>
        </w:rPr>
        <w:t>4 付款方式和发票开具方式</w:t>
      </w:r>
      <w:bookmarkEnd w:id="76"/>
      <w:bookmarkEnd w:id="77"/>
      <w:bookmarkEnd w:id="78"/>
    </w:p>
    <w:p w14:paraId="0E21C814">
      <w:pPr>
        <w:spacing w:line="360" w:lineRule="auto"/>
        <w:ind w:firstLine="437"/>
        <w:outlineLvl w:val="2"/>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1.4.1</w:t>
      </w:r>
      <w:r>
        <w:rPr>
          <w:rFonts w:ascii="宋体" w:hAnsi="宋体" w:eastAsia="宋体" w:cs="Times New Roman"/>
          <w:color w:val="000000" w:themeColor="text1"/>
          <w:sz w:val="24"/>
          <w:szCs w:val="24"/>
          <w14:textFill>
            <w14:solidFill>
              <w14:schemeClr w14:val="tx1"/>
            </w14:solidFill>
          </w14:textFill>
        </w:rPr>
        <w:t>付款方式：</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4105724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1.4.2发票开具方式：</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08FD9417">
      <w:pPr>
        <w:spacing w:line="360" w:lineRule="auto"/>
        <w:ind w:firstLine="437"/>
        <w:outlineLvl w:val="2"/>
        <w:rPr>
          <w:rFonts w:hint="eastAsia"/>
          <w:color w:val="000000" w:themeColor="text1"/>
          <w:lang w:val="zh-CN"/>
          <w14:textFill>
            <w14:solidFill>
              <w14:schemeClr w14:val="tx1"/>
            </w14:solidFill>
          </w14:textFill>
        </w:rPr>
      </w:pPr>
      <w:bookmarkStart w:id="79" w:name="_Toc19304"/>
      <w:bookmarkStart w:id="80" w:name="_Toc32071"/>
      <w:bookmarkStart w:id="81" w:name="_Toc2846"/>
      <w:r>
        <w:rPr>
          <w:rFonts w:hint="eastAsia" w:ascii="宋体" w:hAnsi="宋体" w:eastAsia="宋体" w:cs="Times New Roman"/>
          <w:b/>
          <w:bCs/>
          <w:color w:val="000000" w:themeColor="text1"/>
          <w:sz w:val="24"/>
          <w:szCs w:val="24"/>
          <w:lang w:val="zh-CN"/>
          <w14:textFill>
            <w14:solidFill>
              <w14:schemeClr w14:val="tx1"/>
            </w14:solidFill>
          </w14:textFill>
        </w:rPr>
        <w:t>1.</w:t>
      </w:r>
      <w:r>
        <w:rPr>
          <w:rFonts w:ascii="宋体" w:hAnsi="宋体" w:eastAsia="宋体" w:cs="Times New Roman"/>
          <w:b/>
          <w:bCs/>
          <w:color w:val="000000" w:themeColor="text1"/>
          <w:sz w:val="24"/>
          <w:szCs w:val="24"/>
          <w:lang w:val="zh-CN"/>
          <w14:textFill>
            <w14:solidFill>
              <w14:schemeClr w14:val="tx1"/>
            </w14:solidFill>
          </w14:textFill>
        </w:rPr>
        <w:t xml:space="preserve">5 </w:t>
      </w:r>
      <w:r>
        <w:rPr>
          <w:rFonts w:hint="eastAsia" w:ascii="宋体" w:hAnsi="宋体" w:eastAsia="宋体" w:cs="Times New Roman"/>
          <w:b/>
          <w:bCs/>
          <w:color w:val="000000" w:themeColor="text1"/>
          <w:sz w:val="24"/>
          <w:szCs w:val="24"/>
          <w:lang w:val="zh-CN"/>
          <w14:textFill>
            <w14:solidFill>
              <w14:schemeClr w14:val="tx1"/>
            </w14:solidFill>
          </w14:textFill>
        </w:rPr>
        <w:t>服务</w:t>
      </w:r>
      <w:r>
        <w:rPr>
          <w:rFonts w:ascii="宋体" w:hAnsi="宋体" w:eastAsia="宋体" w:cs="Times New Roman"/>
          <w:b/>
          <w:bCs/>
          <w:color w:val="000000" w:themeColor="text1"/>
          <w:sz w:val="24"/>
          <w:szCs w:val="24"/>
          <w:lang w:val="zh-CN"/>
          <w14:textFill>
            <w14:solidFill>
              <w14:schemeClr w14:val="tx1"/>
            </w14:solidFill>
          </w14:textFill>
        </w:rPr>
        <w:t>期限</w:t>
      </w:r>
      <w:r>
        <w:rPr>
          <w:rFonts w:hint="eastAsia" w:ascii="宋体" w:hAnsi="宋体" w:eastAsia="宋体" w:cs="Times New Roman"/>
          <w:b/>
          <w:bCs/>
          <w:color w:val="000000" w:themeColor="text1"/>
          <w:sz w:val="24"/>
          <w:szCs w:val="24"/>
          <w:lang w:val="zh-CN"/>
          <w14:textFill>
            <w14:solidFill>
              <w14:schemeClr w14:val="tx1"/>
            </w14:solidFill>
          </w14:textFill>
        </w:rPr>
        <w:t>、地点和方式</w:t>
      </w:r>
      <w:bookmarkEnd w:id="79"/>
      <w:bookmarkEnd w:id="80"/>
      <w:bookmarkEnd w:id="81"/>
    </w:p>
    <w:p w14:paraId="0326F3BA">
      <w:pPr>
        <w:spacing w:line="360" w:lineRule="auto"/>
        <w:ind w:firstLine="435"/>
        <w:rPr>
          <w:rFonts w:hint="eastAsia"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1.5.1服务期限</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0860D0F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1.5.2服务地点</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w:t>
      </w:r>
    </w:p>
    <w:p w14:paraId="053DFFB0">
      <w:pPr>
        <w:ind w:firstLine="480" w:firstLineChars="200"/>
        <w:rPr>
          <w:rFonts w:hint="eastAsia"/>
          <w:color w:val="000000" w:themeColor="text1"/>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1.5.3</w:t>
      </w:r>
      <w:r>
        <w:rPr>
          <w:rFonts w:hint="eastAsia" w:ascii="宋体" w:hAnsi="宋体" w:eastAsia="宋体" w:cs="宋体"/>
          <w:color w:val="000000" w:themeColor="text1"/>
          <w:sz w:val="24"/>
          <w:szCs w:val="24"/>
          <w:lang w:bidi="ar"/>
          <w14:textFill>
            <w14:solidFill>
              <w14:schemeClr w14:val="tx1"/>
            </w14:solidFill>
          </w14:textFill>
        </w:rPr>
        <w:t>服务方式：</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w:t>
      </w:r>
    </w:p>
    <w:p w14:paraId="3686A685">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82" w:name="_Toc27250"/>
      <w:bookmarkStart w:id="83" w:name="_Toc19554"/>
      <w:bookmarkStart w:id="84" w:name="_Toc21423"/>
      <w:r>
        <w:rPr>
          <w:rFonts w:hint="eastAsia" w:ascii="宋体" w:hAnsi="宋体" w:eastAsia="宋体" w:cs="Times New Roman"/>
          <w:b/>
          <w:bCs/>
          <w:color w:val="000000" w:themeColor="text1"/>
          <w:sz w:val="24"/>
          <w:szCs w:val="24"/>
          <w:lang w:val="zh-CN"/>
          <w14:textFill>
            <w14:solidFill>
              <w14:schemeClr w14:val="tx1"/>
            </w14:solidFill>
          </w14:textFill>
        </w:rPr>
        <w:t>1.6 违约责任</w:t>
      </w:r>
      <w:bookmarkEnd w:id="82"/>
      <w:bookmarkEnd w:id="83"/>
      <w:bookmarkEnd w:id="84"/>
    </w:p>
    <w:p w14:paraId="66AF119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1.6.1</w:t>
      </w:r>
      <w:r>
        <w:rPr>
          <w:rFonts w:ascii="宋体" w:hAnsi="宋体" w:eastAsia="宋体" w:cs="Times New Roman"/>
          <w:color w:val="000000" w:themeColor="text1"/>
          <w:sz w:val="24"/>
          <w:szCs w:val="24"/>
          <w14:textFill>
            <w14:solidFill>
              <w14:schemeClr w14:val="tx1"/>
            </w14:solidFill>
          </w14:textFill>
        </w:rPr>
        <w:t>除不可抗力外，如果乙方没有按照本合同约定的期限</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地点和方式</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，那么甲方可要求乙方支付违约金</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违约金按每迟延</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一日的应提供而未</w:t>
      </w:r>
      <w:r>
        <w:rPr>
          <w:rFonts w:hint="eastAsia" w:ascii="宋体" w:hAnsi="宋体" w:eastAsia="宋体" w:cs="Times New Roman"/>
          <w:color w:val="000000" w:themeColor="text1"/>
          <w:sz w:val="24"/>
          <w:szCs w:val="24"/>
          <w14:textFill>
            <w14:solidFill>
              <w14:schemeClr w14:val="tx1"/>
            </w14:solidFill>
          </w14:textFill>
        </w:rPr>
        <w:t>提供</w:t>
      </w:r>
      <w:r>
        <w:rPr>
          <w:rFonts w:ascii="宋体" w:hAnsi="宋体" w:eastAsia="宋体" w:cs="Times New Roman"/>
          <w:color w:val="000000" w:themeColor="text1"/>
          <w:sz w:val="24"/>
          <w:szCs w:val="24"/>
          <w14:textFill>
            <w14:solidFill>
              <w14:schemeClr w14:val="tx1"/>
            </w14:solidFill>
          </w14:textFill>
        </w:rPr>
        <w:t>服务价格的</w:t>
      </w:r>
      <w:r>
        <w:rPr>
          <w:rFonts w:hint="eastAsia" w:ascii="宋体" w:hAnsi="宋体" w:eastAsia="宋体" w:cs="Times New Roman"/>
          <w:color w:val="000000" w:themeColor="text1"/>
          <w:sz w:val="24"/>
          <w:szCs w:val="24"/>
          <w:u w:val="single"/>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%计算</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最高限额为</w:t>
      </w:r>
      <w:r>
        <w:rPr>
          <w:rFonts w:hint="eastAsia" w:ascii="宋体" w:hAnsi="宋体" w:eastAsia="宋体" w:cs="Times New Roman"/>
          <w:color w:val="000000" w:themeColor="text1"/>
          <w:sz w:val="24"/>
          <w:szCs w:val="24"/>
          <w14:textFill>
            <w14:solidFill>
              <w14:schemeClr w14:val="tx1"/>
            </w14:solidFill>
          </w14:textFill>
        </w:rPr>
        <w:t>本</w:t>
      </w:r>
      <w:r>
        <w:rPr>
          <w:rFonts w:ascii="宋体" w:hAnsi="宋体" w:eastAsia="宋体" w:cs="Times New Roman"/>
          <w:color w:val="000000" w:themeColor="text1"/>
          <w:sz w:val="24"/>
          <w:szCs w:val="24"/>
          <w14:textFill>
            <w14:solidFill>
              <w14:schemeClr w14:val="tx1"/>
            </w14:solidFill>
          </w14:textFill>
        </w:rPr>
        <w:t>合同总价的</w:t>
      </w:r>
      <w:r>
        <w:rPr>
          <w:rFonts w:hint="eastAsia" w:ascii="宋体" w:hAnsi="宋体" w:eastAsia="宋体" w:cs="Times New Roman"/>
          <w:color w:val="000000" w:themeColor="text1"/>
          <w:sz w:val="24"/>
          <w:szCs w:val="24"/>
          <w:u w:val="single"/>
          <w14:textFill>
            <w14:solidFill>
              <w14:schemeClr w14:val="tx1"/>
            </w14:solidFill>
          </w14:textFill>
        </w:rPr>
        <w:t>10</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迟延</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的违约金计算数额达到前述最高限额之日起</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甲方有权在要求乙方支付违约金的同时</w:t>
      </w:r>
      <w:r>
        <w:rPr>
          <w:rFonts w:hint="eastAsia" w:ascii="宋体" w:hAnsi="宋体" w:eastAsia="宋体" w:cs="Times New Roman"/>
          <w:color w:val="000000" w:themeColor="text1"/>
          <w:sz w:val="24"/>
          <w:szCs w:val="24"/>
          <w14:textFill>
            <w14:solidFill>
              <w14:schemeClr w14:val="tx1"/>
            </w14:solidFill>
          </w14:textFill>
        </w:rPr>
        <w:t>，书面通知乙方</w:t>
      </w:r>
      <w:r>
        <w:rPr>
          <w:rFonts w:ascii="宋体" w:hAnsi="宋体" w:eastAsia="宋体" w:cs="Times New Roman"/>
          <w:color w:val="000000" w:themeColor="text1"/>
          <w:sz w:val="24"/>
          <w:szCs w:val="24"/>
          <w14:textFill>
            <w14:solidFill>
              <w14:schemeClr w14:val="tx1"/>
            </w14:solidFill>
          </w14:textFill>
        </w:rPr>
        <w:t>解除本合同</w:t>
      </w:r>
      <w:r>
        <w:rPr>
          <w:rFonts w:hint="eastAsia" w:ascii="宋体" w:hAnsi="宋体" w:eastAsia="宋体" w:cs="Times New Roman"/>
          <w:color w:val="000000" w:themeColor="text1"/>
          <w:sz w:val="24"/>
          <w:szCs w:val="24"/>
          <w14:textFill>
            <w14:solidFill>
              <w14:schemeClr w14:val="tx1"/>
            </w14:solidFill>
          </w14:textFill>
        </w:rPr>
        <w:t>；</w:t>
      </w:r>
    </w:p>
    <w:p w14:paraId="65438A0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1.6.2</w:t>
      </w:r>
      <w:r>
        <w:rPr>
          <w:rFonts w:ascii="宋体" w:hAnsi="宋体" w:eastAsia="宋体" w:cs="Times New Roman"/>
          <w:color w:val="000000" w:themeColor="text1"/>
          <w:sz w:val="24"/>
          <w:szCs w:val="24"/>
          <w14:textFill>
            <w14:solidFill>
              <w14:schemeClr w14:val="tx1"/>
            </w14:solidFill>
          </w14:textFill>
        </w:rPr>
        <w:t>除不可抗力外，如果甲方没有按照本合同约定的付款方式付款，那么乙方可要求甲方支付违约金</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违约金按每迟延</w:t>
      </w:r>
      <w:r>
        <w:rPr>
          <w:rFonts w:hint="eastAsia" w:ascii="宋体" w:hAnsi="宋体" w:eastAsia="宋体" w:cs="Times New Roman"/>
          <w:color w:val="000000" w:themeColor="text1"/>
          <w:sz w:val="24"/>
          <w:szCs w:val="24"/>
          <w14:textFill>
            <w14:solidFill>
              <w14:schemeClr w14:val="tx1"/>
            </w14:solidFill>
          </w14:textFill>
        </w:rPr>
        <w:t>付款</w:t>
      </w:r>
      <w:r>
        <w:rPr>
          <w:rFonts w:ascii="宋体" w:hAnsi="宋体" w:eastAsia="宋体" w:cs="Times New Roman"/>
          <w:color w:val="000000" w:themeColor="text1"/>
          <w:sz w:val="24"/>
          <w:szCs w:val="24"/>
          <w14:textFill>
            <w14:solidFill>
              <w14:schemeClr w14:val="tx1"/>
            </w14:solidFill>
          </w14:textFill>
        </w:rPr>
        <w:t>一日的应付而未付款的</w:t>
      </w:r>
      <w:r>
        <w:rPr>
          <w:rFonts w:hint="eastAsia" w:ascii="宋体" w:hAnsi="宋体" w:eastAsia="宋体" w:cs="Times New Roman"/>
          <w:color w:val="000000" w:themeColor="text1"/>
          <w:sz w:val="24"/>
          <w:szCs w:val="24"/>
          <w:u w:val="single"/>
          <w14:textFill>
            <w14:solidFill>
              <w14:schemeClr w14:val="tx1"/>
            </w14:solidFill>
          </w14:textFill>
        </w:rPr>
        <w:t>0.2</w:t>
      </w:r>
      <w:r>
        <w:rPr>
          <w:rFonts w:ascii="宋体" w:hAnsi="宋体" w:eastAsia="宋体" w:cs="Times New Roman"/>
          <w:color w:val="000000" w:themeColor="text1"/>
          <w:sz w:val="24"/>
          <w:szCs w:val="24"/>
          <w14:textFill>
            <w14:solidFill>
              <w14:schemeClr w14:val="tx1"/>
            </w14:solidFill>
          </w14:textFill>
        </w:rPr>
        <w:t>%计算</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最高限额为</w:t>
      </w:r>
      <w:r>
        <w:rPr>
          <w:rFonts w:hint="eastAsia" w:ascii="宋体" w:hAnsi="宋体" w:eastAsia="宋体" w:cs="Times New Roman"/>
          <w:color w:val="000000" w:themeColor="text1"/>
          <w:sz w:val="24"/>
          <w:szCs w:val="24"/>
          <w14:textFill>
            <w14:solidFill>
              <w14:schemeClr w14:val="tx1"/>
            </w14:solidFill>
          </w14:textFill>
        </w:rPr>
        <w:t>本</w:t>
      </w:r>
      <w:r>
        <w:rPr>
          <w:rFonts w:ascii="宋体" w:hAnsi="宋体" w:eastAsia="宋体" w:cs="Times New Roman"/>
          <w:color w:val="000000" w:themeColor="text1"/>
          <w:sz w:val="24"/>
          <w:szCs w:val="24"/>
          <w14:textFill>
            <w14:solidFill>
              <w14:schemeClr w14:val="tx1"/>
            </w14:solidFill>
          </w14:textFill>
        </w:rPr>
        <w:t>合同总价的</w:t>
      </w:r>
      <w:r>
        <w:rPr>
          <w:rFonts w:hint="eastAsia" w:ascii="宋体" w:hAnsi="宋体" w:eastAsia="宋体" w:cs="Times New Roman"/>
          <w:color w:val="000000" w:themeColor="text1"/>
          <w:sz w:val="24"/>
          <w:szCs w:val="24"/>
          <w:u w:val="single"/>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迟延</w:t>
      </w:r>
      <w:r>
        <w:rPr>
          <w:rFonts w:hint="eastAsia" w:ascii="宋体" w:hAnsi="宋体" w:eastAsia="宋体" w:cs="Times New Roman"/>
          <w:color w:val="000000" w:themeColor="text1"/>
          <w:sz w:val="24"/>
          <w:szCs w:val="24"/>
          <w14:textFill>
            <w14:solidFill>
              <w14:schemeClr w14:val="tx1"/>
            </w14:solidFill>
          </w14:textFill>
        </w:rPr>
        <w:t>付款</w:t>
      </w:r>
      <w:r>
        <w:rPr>
          <w:rFonts w:ascii="宋体" w:hAnsi="宋体" w:eastAsia="宋体" w:cs="Times New Roman"/>
          <w:color w:val="000000" w:themeColor="text1"/>
          <w:sz w:val="24"/>
          <w:szCs w:val="24"/>
          <w14:textFill>
            <w14:solidFill>
              <w14:schemeClr w14:val="tx1"/>
            </w14:solidFill>
          </w14:textFill>
        </w:rPr>
        <w:t>的违约金计算数额达到前述最高限额之日起</w:t>
      </w:r>
      <w:r>
        <w:rPr>
          <w:rFonts w:hint="eastAsia" w:ascii="宋体" w:hAnsi="宋体" w:eastAsia="宋体" w:cs="Times New Roman"/>
          <w:color w:val="000000" w:themeColor="text1"/>
          <w:sz w:val="24"/>
          <w:szCs w:val="24"/>
          <w14:textFill>
            <w14:solidFill>
              <w14:schemeClr w14:val="tx1"/>
            </w14:solidFill>
          </w14:textFill>
        </w:rPr>
        <w:t>，乙</w:t>
      </w:r>
      <w:r>
        <w:rPr>
          <w:rFonts w:ascii="宋体" w:hAnsi="宋体" w:eastAsia="宋体" w:cs="Times New Roman"/>
          <w:color w:val="000000" w:themeColor="text1"/>
          <w:sz w:val="24"/>
          <w:szCs w:val="24"/>
          <w14:textFill>
            <w14:solidFill>
              <w14:schemeClr w14:val="tx1"/>
            </w14:solidFill>
          </w14:textFill>
        </w:rPr>
        <w:t>方有权在要求甲方支付违约金的同时</w:t>
      </w:r>
      <w:r>
        <w:rPr>
          <w:rFonts w:hint="eastAsia" w:ascii="宋体" w:hAnsi="宋体" w:eastAsia="宋体" w:cs="Times New Roman"/>
          <w:color w:val="000000" w:themeColor="text1"/>
          <w:sz w:val="24"/>
          <w:szCs w:val="24"/>
          <w14:textFill>
            <w14:solidFill>
              <w14:schemeClr w14:val="tx1"/>
            </w14:solidFill>
          </w14:textFill>
        </w:rPr>
        <w:t>，书面通知甲方</w:t>
      </w:r>
      <w:r>
        <w:rPr>
          <w:rFonts w:ascii="宋体" w:hAnsi="宋体" w:eastAsia="宋体" w:cs="Times New Roman"/>
          <w:color w:val="000000" w:themeColor="text1"/>
          <w:sz w:val="24"/>
          <w:szCs w:val="24"/>
          <w14:textFill>
            <w14:solidFill>
              <w14:schemeClr w14:val="tx1"/>
            </w14:solidFill>
          </w14:textFill>
        </w:rPr>
        <w:t>解除本合同</w:t>
      </w:r>
      <w:r>
        <w:rPr>
          <w:rFonts w:hint="eastAsia" w:ascii="宋体" w:hAnsi="宋体" w:eastAsia="宋体" w:cs="Times New Roman"/>
          <w:color w:val="000000" w:themeColor="text1"/>
          <w:sz w:val="24"/>
          <w:szCs w:val="24"/>
          <w14:textFill>
            <w14:solidFill>
              <w14:schemeClr w14:val="tx1"/>
            </w14:solidFill>
          </w14:textFill>
        </w:rPr>
        <w:t>；</w:t>
      </w:r>
    </w:p>
    <w:p w14:paraId="6B1402A4">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9B6395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C206C8">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48B1A9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77872CC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1.6.7因甲方未按合同约定支付价款、未按合同约定受领标的物、擅自解除合同</w:t>
      </w:r>
      <w:r>
        <w:rPr>
          <w:rFonts w:hint="eastAsia" w:ascii="宋体" w:hAnsi="宋体" w:eastAsia="宋体" w:cs="Times New Roman"/>
          <w:color w:val="000000" w:themeColor="text1"/>
          <w:sz w:val="24"/>
          <w:szCs w:val="24"/>
          <w14:textFill>
            <w14:solidFill>
              <w14:schemeClr w14:val="tx1"/>
            </w14:solidFill>
          </w14:textFill>
        </w:rPr>
        <w:t>、逾期退还履约保证金</w:t>
      </w:r>
      <w:r>
        <w:rPr>
          <w:rFonts w:ascii="宋体" w:hAnsi="宋体" w:eastAsia="宋体" w:cs="Times New Roman"/>
          <w:color w:val="000000" w:themeColor="text1"/>
          <w:sz w:val="24"/>
          <w:szCs w:val="24"/>
          <w14:textFill>
            <w14:solidFill>
              <w14:schemeClr w14:val="tx1"/>
            </w14:solidFill>
          </w14:textFill>
        </w:rPr>
        <w:t>导致乙方遭受的直接损失，乙方可向甲方申请赔偿，赔偿金额由双方协商一致；</w:t>
      </w:r>
      <w:r>
        <w:rPr>
          <w:rFonts w:hint="eastAsia" w:ascii="宋体" w:hAnsi="宋体" w:eastAsia="宋体" w:cs="Times New Roman"/>
          <w:color w:val="000000" w:themeColor="text1"/>
          <w:sz w:val="24"/>
          <w:szCs w:val="24"/>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17CEA58B">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85" w:name="_Toc15583"/>
      <w:bookmarkStart w:id="86" w:name="_Toc28375"/>
      <w:bookmarkStart w:id="87" w:name="_Toc16021"/>
      <w:r>
        <w:rPr>
          <w:rFonts w:hint="eastAsia" w:ascii="宋体" w:hAnsi="宋体" w:eastAsia="宋体" w:cs="Times New Roman"/>
          <w:b/>
          <w:bCs/>
          <w:color w:val="000000" w:themeColor="text1"/>
          <w:sz w:val="24"/>
          <w:szCs w:val="24"/>
          <w:lang w:val="zh-CN"/>
          <w14:textFill>
            <w14:solidFill>
              <w14:schemeClr w14:val="tx1"/>
            </w14:solidFill>
          </w14:textFill>
        </w:rPr>
        <w:t>1.7合同</w:t>
      </w:r>
      <w:r>
        <w:rPr>
          <w:rFonts w:ascii="宋体" w:hAnsi="宋体" w:eastAsia="宋体" w:cs="Times New Roman"/>
          <w:b/>
          <w:bCs/>
          <w:color w:val="000000" w:themeColor="text1"/>
          <w:sz w:val="24"/>
          <w:szCs w:val="24"/>
          <w:lang w:val="zh-CN"/>
          <w14:textFill>
            <w14:solidFill>
              <w14:schemeClr w14:val="tx1"/>
            </w14:solidFill>
          </w14:textFill>
        </w:rPr>
        <w:t>争议的解决</w:t>
      </w:r>
      <w:bookmarkEnd w:id="85"/>
      <w:bookmarkEnd w:id="86"/>
      <w:bookmarkEnd w:id="87"/>
    </w:p>
    <w:p w14:paraId="6DB17CB7">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88" w:name="_Toc7245"/>
      <w:bookmarkStart w:id="89" w:name="_Toc15322"/>
      <w:bookmarkStart w:id="90" w:name="_Toc11173"/>
      <w:r>
        <w:rPr>
          <w:rFonts w:hint="eastAsia" w:ascii="宋体" w:hAnsi="宋体" w:eastAsia="宋体" w:cs="宋体"/>
          <w:color w:val="000000" w:themeColor="text1"/>
          <w:sz w:val="24"/>
          <w:szCs w:val="24"/>
          <w:lang w:bidi="ar"/>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种方式解决：</w:t>
      </w:r>
    </w:p>
    <w:p w14:paraId="4D0A73A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1.7.1将争议提交</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仲裁委员会依申请仲裁时其现行有效的仲裁规则裁决；</w:t>
      </w:r>
    </w:p>
    <w:p w14:paraId="25040BEA">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1.7.2向</w:t>
      </w:r>
      <w:r>
        <w:rPr>
          <w:rFonts w:hint="eastAsia" w:ascii="宋体" w:hAnsi="宋体" w:eastAsia="宋体" w:cs="Times New Roman"/>
          <w:color w:val="000000" w:themeColor="text1"/>
          <w:sz w:val="24"/>
          <w:szCs w:val="24"/>
          <w:u w:val="single"/>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人民法院起诉。</w:t>
      </w:r>
    </w:p>
    <w:p w14:paraId="2749CA9B">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r>
        <w:rPr>
          <w:rFonts w:hint="eastAsia" w:ascii="宋体" w:hAnsi="宋体" w:eastAsia="宋体" w:cs="Times New Roman"/>
          <w:b/>
          <w:bCs/>
          <w:color w:val="000000" w:themeColor="text1"/>
          <w:sz w:val="24"/>
          <w:szCs w:val="24"/>
          <w:lang w:val="zh-CN"/>
          <w14:textFill>
            <w14:solidFill>
              <w14:schemeClr w14:val="tx1"/>
            </w14:solidFill>
          </w14:textFill>
        </w:rPr>
        <w:t>1.8</w:t>
      </w:r>
      <w:r>
        <w:rPr>
          <w:rFonts w:ascii="宋体" w:hAnsi="宋体" w:eastAsia="宋体" w:cs="Times New Roman"/>
          <w:b/>
          <w:bCs/>
          <w:color w:val="000000" w:themeColor="text1"/>
          <w:sz w:val="24"/>
          <w:szCs w:val="24"/>
          <w:lang w:val="zh-CN"/>
          <w14:textFill>
            <w14:solidFill>
              <w14:schemeClr w14:val="tx1"/>
            </w14:solidFill>
          </w14:textFill>
        </w:rPr>
        <w:t xml:space="preserve"> 合同生效</w:t>
      </w:r>
      <w:bookmarkEnd w:id="88"/>
      <w:bookmarkEnd w:id="89"/>
      <w:bookmarkEnd w:id="90"/>
    </w:p>
    <w:p w14:paraId="54EE516F">
      <w:pPr>
        <w:spacing w:line="400" w:lineRule="exact"/>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本合同自</w:t>
      </w:r>
      <w:r>
        <w:rPr>
          <w:rFonts w:hint="eastAsia" w:ascii="宋体" w:hAnsi="宋体" w:eastAsia="宋体" w:cs="Times New Roman"/>
          <w:color w:val="000000" w:themeColor="text1"/>
          <w:sz w:val="24"/>
          <w:szCs w:val="24"/>
          <w14:textFill>
            <w14:solidFill>
              <w14:schemeClr w14:val="tx1"/>
            </w14:solidFill>
          </w14:textFill>
        </w:rPr>
        <w:t>双方当事人盖章时</w:t>
      </w:r>
      <w:r>
        <w:rPr>
          <w:rFonts w:ascii="宋体" w:hAnsi="宋体" w:eastAsia="宋体" w:cs="Times New Roman"/>
          <w:color w:val="000000" w:themeColor="text1"/>
          <w:sz w:val="24"/>
          <w:szCs w:val="24"/>
          <w14:textFill>
            <w14:solidFill>
              <w14:schemeClr w14:val="tx1"/>
            </w14:solidFill>
          </w14:textFill>
        </w:rPr>
        <w:t>生效。</w:t>
      </w:r>
    </w:p>
    <w:p w14:paraId="55B6E0D8">
      <w:pPr>
        <w:autoSpaceDE w:val="0"/>
        <w:autoSpaceDN w:val="0"/>
        <w:adjustRightInd w:val="0"/>
        <w:spacing w:line="560" w:lineRule="exact"/>
        <w:rPr>
          <w:rFonts w:hint="eastAsia" w:ascii="宋体" w:hAnsi="宋体" w:eastAsia="宋体" w:cs="Times New Roman"/>
          <w:bCs/>
          <w:color w:val="000000" w:themeColor="text1"/>
          <w:sz w:val="24"/>
          <w:szCs w:val="24"/>
          <w14:textFill>
            <w14:solidFill>
              <w14:schemeClr w14:val="tx1"/>
            </w14:solidFill>
          </w14:textFill>
        </w:rPr>
      </w:pPr>
      <w:bookmarkStart w:id="91" w:name="_Toc331685783"/>
      <w:r>
        <w:rPr>
          <w:rFonts w:hint="eastAsia" w:ascii="宋体" w:hAnsi="宋体" w:eastAsia="宋体" w:cs="宋体"/>
          <w:bCs/>
          <w:color w:val="000000" w:themeColor="text1"/>
          <w:sz w:val="24"/>
          <w:szCs w:val="24"/>
          <w:lang w:bidi="ar"/>
          <w14:textFill>
            <w14:solidFill>
              <w14:schemeClr w14:val="tx1"/>
            </w14:solidFill>
          </w14:textFill>
        </w:rPr>
        <w:t>甲</w:t>
      </w:r>
      <w:r>
        <w:rPr>
          <w:rFonts w:hint="eastAsia" w:ascii="宋体" w:hAnsi="宋体" w:eastAsia="宋体" w:cs="Times New Roman"/>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方：</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（单位盖章）</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Times New Roman"/>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乙方：</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u w:val="single"/>
          <w:lang w:bidi="ar"/>
          <w14:textFill>
            <w14:solidFill>
              <w14:schemeClr w14:val="tx1"/>
            </w14:solidFill>
          </w14:textFill>
        </w:rPr>
        <w:t>（单位盖章）</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p>
    <w:p w14:paraId="63DCB048">
      <w:pPr>
        <w:autoSpaceDE w:val="0"/>
        <w:autoSpaceDN w:val="0"/>
        <w:adjustRightInd w:val="0"/>
        <w:spacing w:line="5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法定代表人</w:t>
      </w:r>
      <w:r>
        <w:rPr>
          <w:rFonts w:hint="eastAsia" w:ascii="宋体" w:hAnsi="宋体" w:eastAsia="宋体" w:cs="Times New Roman"/>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法定代表人</w:t>
      </w:r>
    </w:p>
    <w:p w14:paraId="2463B6FD">
      <w:pPr>
        <w:autoSpaceDE w:val="0"/>
        <w:autoSpaceDN w:val="0"/>
        <w:adjustRightInd w:val="0"/>
        <w:spacing w:line="560" w:lineRule="exact"/>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或授权代表（签字）：</w:t>
      </w:r>
      <w:r>
        <w:rPr>
          <w:rFonts w:hint="eastAsia" w:ascii="宋体" w:hAnsi="宋体" w:eastAsia="宋体" w:cs="Times New Roman"/>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或授权代表（签字）：</w:t>
      </w:r>
    </w:p>
    <w:p w14:paraId="206FD2EA">
      <w:pPr>
        <w:widowControl/>
        <w:spacing w:line="560" w:lineRule="exact"/>
        <w:jc w:val="left"/>
        <w:rPr>
          <w:rFonts w:hint="eastAsia"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bidi="ar"/>
          <w14:textFill>
            <w14:solidFill>
              <w14:schemeClr w14:val="tx1"/>
            </w14:solidFill>
          </w14:textFill>
        </w:rPr>
        <w:t>时间：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月</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日</w:t>
      </w:r>
      <w:r>
        <w:rPr>
          <w:rFonts w:hint="eastAsia" w:ascii="宋体" w:hAnsi="宋体" w:eastAsia="宋体" w:cs="Times New Roman"/>
          <w:bCs/>
          <w:color w:val="000000" w:themeColor="text1"/>
          <w:sz w:val="24"/>
          <w:szCs w:val="24"/>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时间：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年</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月</w:t>
      </w:r>
      <w:r>
        <w:rPr>
          <w:rFonts w:hint="eastAsia" w:ascii="宋体" w:hAnsi="宋体" w:eastAsia="宋体" w:cs="Times New Roman"/>
          <w:bCs/>
          <w:color w:val="000000" w:themeColor="text1"/>
          <w:sz w:val="24"/>
          <w:szCs w:val="24"/>
          <w:u w:val="single"/>
          <w:lang w:bidi="ar"/>
          <w14:textFill>
            <w14:solidFill>
              <w14:schemeClr w14:val="tx1"/>
            </w14:solidFill>
          </w14:textFill>
        </w:rPr>
        <w:t xml:space="preserve">    </w:t>
      </w:r>
      <w:r>
        <w:rPr>
          <w:rFonts w:hint="eastAsia" w:ascii="宋体" w:hAnsi="宋体" w:eastAsia="宋体" w:cs="宋体"/>
          <w:bCs/>
          <w:color w:val="000000" w:themeColor="text1"/>
          <w:sz w:val="24"/>
          <w:szCs w:val="24"/>
          <w:lang w:bidi="ar"/>
          <w14:textFill>
            <w14:solidFill>
              <w14:schemeClr w14:val="tx1"/>
            </w14:solidFill>
          </w14:textFill>
        </w:rPr>
        <w:t>日</w:t>
      </w:r>
    </w:p>
    <w:p w14:paraId="7CFB2E06">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乙方账户信息</w:t>
      </w:r>
    </w:p>
    <w:p w14:paraId="4B21A646">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户名：</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64F49C46">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账号：</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171C2943">
      <w:pPr>
        <w:spacing w:line="560" w:lineRule="exact"/>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bidi="ar"/>
          <w14:textFill>
            <w14:solidFill>
              <w14:schemeClr w14:val="tx1"/>
            </w14:solidFill>
          </w14:textFill>
        </w:rPr>
        <w:t xml:space="preserve">                                         </w:t>
      </w:r>
      <w:r>
        <w:rPr>
          <w:rFonts w:hint="eastAsia" w:ascii="宋体" w:hAnsi="宋体" w:eastAsia="宋体" w:cs="宋体"/>
          <w:color w:val="000000" w:themeColor="text1"/>
          <w:sz w:val="24"/>
          <w:szCs w:val="24"/>
          <w:lang w:bidi="ar"/>
          <w14:textFill>
            <w14:solidFill>
              <w14:schemeClr w14:val="tx1"/>
            </w14:solidFill>
          </w14:textFill>
        </w:rPr>
        <w:t>开户银行：</w:t>
      </w:r>
      <w:r>
        <w:rPr>
          <w:rFonts w:hint="eastAsia" w:ascii="宋体" w:hAnsi="宋体" w:eastAsia="宋体"/>
          <w:color w:val="000000" w:themeColor="text1"/>
          <w:sz w:val="24"/>
          <w:szCs w:val="24"/>
          <w:u w:val="single"/>
          <w:lang w:bidi="ar"/>
          <w14:textFill>
            <w14:solidFill>
              <w14:schemeClr w14:val="tx1"/>
            </w14:solidFill>
          </w14:textFill>
        </w:rPr>
        <w:t xml:space="preserve">        </w:t>
      </w:r>
    </w:p>
    <w:p w14:paraId="2E679E2C">
      <w:pPr>
        <w:widowControl/>
        <w:jc w:val="center"/>
        <w:rPr>
          <w:rFonts w:hint="eastAsia" w:ascii="宋体" w:hAnsi="宋体" w:eastAsia="宋体"/>
          <w:b/>
          <w:color w:val="000000" w:themeColor="text1"/>
          <w:sz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br w:type="page"/>
      </w:r>
      <w:bookmarkStart w:id="92" w:name="_Toc415"/>
      <w:r>
        <w:rPr>
          <w:rFonts w:hint="eastAsia" w:ascii="宋体" w:hAnsi="宋体" w:eastAsia="宋体"/>
          <w:b/>
          <w:color w:val="000000" w:themeColor="text1"/>
          <w:sz w:val="24"/>
          <w14:textFill>
            <w14:solidFill>
              <w14:schemeClr w14:val="tx1"/>
            </w14:solidFill>
          </w14:textFill>
        </w:rPr>
        <w:t>第二部分 合同一般条款</w:t>
      </w:r>
      <w:bookmarkEnd w:id="91"/>
      <w:bookmarkEnd w:id="92"/>
    </w:p>
    <w:p w14:paraId="582BC59D">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93" w:name="_Ref467378499"/>
      <w:bookmarkStart w:id="94" w:name="_Ref467379195"/>
      <w:bookmarkStart w:id="95" w:name="_Toc19614"/>
      <w:bookmarkStart w:id="96" w:name="_Toc28763"/>
      <w:bookmarkStart w:id="97" w:name="_Ref467379094"/>
      <w:bookmarkStart w:id="98" w:name="_Ref467379109"/>
      <w:bookmarkStart w:id="99" w:name="_Ref467379214"/>
      <w:bookmarkStart w:id="100" w:name="_Ref467378404"/>
      <w:bookmarkStart w:id="101" w:name="_Toc16917"/>
      <w:bookmarkStart w:id="102" w:name="_Ref467379101"/>
      <w:bookmarkStart w:id="103" w:name="_Ref467378463"/>
      <w:bookmarkStart w:id="104" w:name="_Toc487900349"/>
      <w:bookmarkStart w:id="105" w:name="_Toc279701240"/>
      <w:bookmarkStart w:id="106" w:name="_Toc259093669"/>
      <w:bookmarkStart w:id="107" w:name="_Ref467379225"/>
      <w:bookmarkStart w:id="108" w:name="_Ref467379205"/>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 xml:space="preserve"> 定义</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2490AC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本合同中的下列</w:t>
      </w:r>
      <w:r>
        <w:rPr>
          <w:rFonts w:hint="eastAsia" w:ascii="宋体" w:hAnsi="宋体" w:eastAsia="宋体" w:cs="Times New Roman"/>
          <w:color w:val="000000" w:themeColor="text1"/>
          <w:sz w:val="24"/>
          <w:szCs w:val="24"/>
          <w14:textFill>
            <w14:solidFill>
              <w14:schemeClr w14:val="tx1"/>
            </w14:solidFill>
          </w14:textFill>
        </w:rPr>
        <w:t>词</w:t>
      </w:r>
      <w:r>
        <w:rPr>
          <w:rFonts w:ascii="宋体" w:hAnsi="宋体" w:eastAsia="宋体" w:cs="Times New Roman"/>
          <w:color w:val="000000" w:themeColor="text1"/>
          <w:sz w:val="24"/>
          <w:szCs w:val="24"/>
          <w14:textFill>
            <w14:solidFill>
              <w14:schemeClr w14:val="tx1"/>
            </w14:solidFill>
          </w14:textFill>
        </w:rPr>
        <w:t>语应</w:t>
      </w:r>
      <w:r>
        <w:rPr>
          <w:rFonts w:hint="eastAsia" w:ascii="宋体" w:hAnsi="宋体" w:eastAsia="宋体" w:cs="Times New Roman"/>
          <w:color w:val="000000" w:themeColor="text1"/>
          <w:sz w:val="24"/>
          <w:szCs w:val="24"/>
          <w14:textFill>
            <w14:solidFill>
              <w14:schemeClr w14:val="tx1"/>
            </w14:solidFill>
          </w14:textFill>
        </w:rPr>
        <w:t>按以下内容进行</w:t>
      </w:r>
      <w:r>
        <w:rPr>
          <w:rFonts w:ascii="宋体" w:hAnsi="宋体" w:eastAsia="宋体" w:cs="Times New Roman"/>
          <w:color w:val="000000" w:themeColor="text1"/>
          <w:sz w:val="24"/>
          <w:szCs w:val="24"/>
          <w14:textFill>
            <w14:solidFill>
              <w14:schemeClr w14:val="tx1"/>
            </w14:solidFill>
          </w14:textFill>
        </w:rPr>
        <w:t>解释：</w:t>
      </w:r>
    </w:p>
    <w:p w14:paraId="672E451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“合同”系指采购人和中标人签订的载明双方当事人所达成的协议，并包括所有的附件、附录和构成合同的其他文件。</w:t>
      </w:r>
    </w:p>
    <w:p w14:paraId="751E297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1.2“合同价”系指根据合同约定，中标人在完全履行合同义务后</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采购人应支付给中标人的价格。</w:t>
      </w:r>
    </w:p>
    <w:p w14:paraId="2128F84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1.3“</w:t>
      </w:r>
      <w:r>
        <w:rPr>
          <w:rFonts w:hint="eastAsia" w:ascii="宋体" w:hAnsi="宋体" w:eastAsia="宋体" w:cs="Times New Roman"/>
          <w:color w:val="000000" w:themeColor="text1"/>
          <w:sz w:val="24"/>
          <w:szCs w:val="24"/>
          <w14:textFill>
            <w14:solidFill>
              <w14:schemeClr w14:val="tx1"/>
            </w14:solidFill>
          </w14:textFill>
        </w:rPr>
        <w:t>服务</w:t>
      </w:r>
      <w:r>
        <w:rPr>
          <w:rFonts w:ascii="宋体" w:hAnsi="宋体" w:eastAsia="宋体" w:cs="Times New Roman"/>
          <w:color w:val="000000" w:themeColor="text1"/>
          <w:sz w:val="24"/>
          <w:szCs w:val="24"/>
          <w14:textFill>
            <w14:solidFill>
              <w14:schemeClr w14:val="tx1"/>
            </w14:solidFill>
          </w14:textFill>
        </w:rPr>
        <w:t>”系指</w:t>
      </w:r>
      <w:r>
        <w:rPr>
          <w:rFonts w:hint="eastAsia" w:ascii="宋体" w:hAnsi="宋体" w:eastAsia="宋体" w:cs="Times New Roman"/>
          <w:color w:val="000000" w:themeColor="text1"/>
          <w:sz w:val="24"/>
          <w:szCs w:val="24"/>
          <w14:textFill>
            <w14:solidFill>
              <w14:schemeClr w14:val="tx1"/>
            </w14:solidFill>
          </w14:textFill>
        </w:rPr>
        <w:t>中标人</w:t>
      </w:r>
      <w:r>
        <w:rPr>
          <w:rFonts w:ascii="宋体" w:hAnsi="宋体" w:eastAsia="宋体" w:cs="Times New Roman"/>
          <w:color w:val="000000" w:themeColor="text1"/>
          <w:sz w:val="24"/>
          <w:szCs w:val="24"/>
          <w14:textFill>
            <w14:solidFill>
              <w14:schemeClr w14:val="tx1"/>
            </w14:solidFill>
          </w14:textFill>
        </w:rPr>
        <w:t>根据合同约定应向采购人</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的</w:t>
      </w:r>
      <w:r>
        <w:rPr>
          <w:rFonts w:hint="eastAsia" w:ascii="宋体" w:hAnsi="宋体" w:eastAsia="宋体" w:cs="Times New Roman"/>
          <w:color w:val="000000" w:themeColor="text1"/>
          <w:sz w:val="24"/>
          <w:szCs w:val="24"/>
          <w14:textFill>
            <w14:solidFill>
              <w14:schemeClr w14:val="tx1"/>
            </w14:solidFill>
          </w14:textFill>
        </w:rPr>
        <w:t>除货物和工程以外的其他政府采购对象，包括采购人自身需要的服务和向社会公众提供的公共服务。</w:t>
      </w:r>
    </w:p>
    <w:p w14:paraId="3BCA3514">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09" w:name="_Ref467378840"/>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甲方</w:t>
      </w:r>
      <w:r>
        <w:rPr>
          <w:rFonts w:ascii="宋体" w:hAnsi="宋体" w:eastAsia="宋体" w:cs="Times New Roman"/>
          <w:color w:val="000000" w:themeColor="text1"/>
          <w:sz w:val="24"/>
          <w:szCs w:val="24"/>
          <w14:textFill>
            <w14:solidFill>
              <w14:schemeClr w14:val="tx1"/>
            </w14:solidFill>
          </w14:textFill>
        </w:rPr>
        <w:t>”系指与</w:t>
      </w:r>
      <w:r>
        <w:rPr>
          <w:rFonts w:hint="eastAsia" w:ascii="宋体" w:hAnsi="宋体" w:eastAsia="宋体" w:cs="Times New Roman"/>
          <w:color w:val="000000" w:themeColor="text1"/>
          <w:sz w:val="24"/>
          <w:szCs w:val="24"/>
          <w14:textFill>
            <w14:solidFill>
              <w14:schemeClr w14:val="tx1"/>
            </w14:solidFill>
          </w14:textFill>
        </w:rPr>
        <w:t>中标人</w:t>
      </w:r>
      <w:r>
        <w:rPr>
          <w:rFonts w:ascii="宋体" w:hAnsi="宋体" w:eastAsia="宋体" w:cs="Times New Roman"/>
          <w:color w:val="000000" w:themeColor="text1"/>
          <w:sz w:val="24"/>
          <w:szCs w:val="24"/>
          <w14:textFill>
            <w14:solidFill>
              <w14:schemeClr w14:val="tx1"/>
            </w14:solidFill>
          </w14:textFill>
        </w:rPr>
        <w:t>签署合同的采购人</w:t>
      </w:r>
      <w:bookmarkEnd w:id="109"/>
      <w:r>
        <w:rPr>
          <w:rFonts w:hint="eastAsia" w:ascii="宋体" w:hAnsi="宋体" w:eastAsia="宋体" w:cs="Times New Roman"/>
          <w:color w:val="000000" w:themeColor="text1"/>
          <w:sz w:val="24"/>
          <w:szCs w:val="24"/>
          <w14:textFill>
            <w14:solidFill>
              <w14:schemeClr w14:val="tx1"/>
            </w14:solidFill>
          </w14:textFill>
        </w:rPr>
        <w:t>；采购人委托采购代理机构代表其与乙方签订合同的，采购人的授权委托书作为合同附件。</w:t>
      </w:r>
    </w:p>
    <w:p w14:paraId="5763265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10" w:name="_Ref467379400"/>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“乙方”系指根据合同约定</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的中标人</w:t>
      </w:r>
      <w:bookmarkEnd w:id="110"/>
      <w:r>
        <w:rPr>
          <w:rFonts w:hint="eastAsia" w:ascii="宋体" w:hAnsi="宋体" w:eastAsia="宋体" w:cs="Times New Roman"/>
          <w:color w:val="000000" w:themeColor="text1"/>
          <w:sz w:val="24"/>
          <w:szCs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1C1DA67">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11" w:name="_Ref467379436"/>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6</w:t>
      </w:r>
      <w:r>
        <w:rPr>
          <w:rFonts w:ascii="宋体" w:hAnsi="宋体" w:eastAsia="宋体" w:cs="Times New Roman"/>
          <w:color w:val="000000" w:themeColor="text1"/>
          <w:sz w:val="24"/>
          <w:szCs w:val="24"/>
          <w14:textFill>
            <w14:solidFill>
              <w14:schemeClr w14:val="tx1"/>
            </w14:solidFill>
          </w14:textFill>
        </w:rPr>
        <w:t>“现场”系指合同约定</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的地点。</w:t>
      </w:r>
      <w:bookmarkEnd w:id="111"/>
    </w:p>
    <w:p w14:paraId="54E46740">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12" w:name="_Toc487900350"/>
      <w:bookmarkStart w:id="113" w:name="_Toc32504"/>
      <w:bookmarkStart w:id="114" w:name="_Toc279701241"/>
      <w:bookmarkStart w:id="115" w:name="_Toc13336"/>
      <w:bookmarkStart w:id="116" w:name="_Toc27635"/>
      <w:bookmarkStart w:id="117" w:name="_Toc259093670"/>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2 技术规范</w:t>
      </w:r>
      <w:bookmarkEnd w:id="112"/>
      <w:bookmarkEnd w:id="113"/>
      <w:bookmarkEnd w:id="114"/>
      <w:bookmarkEnd w:id="115"/>
      <w:bookmarkEnd w:id="116"/>
      <w:bookmarkEnd w:id="117"/>
    </w:p>
    <w:p w14:paraId="5959E72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如果采购文件中没有技术规范的相应说明，那么应以国家有关部门最新颁布的相应标准</w:t>
      </w:r>
      <w:r>
        <w:rPr>
          <w:rFonts w:hint="eastAsia" w:ascii="宋体" w:hAnsi="宋体" w:eastAsia="宋体" w:cs="Times New Roman"/>
          <w:color w:val="000000" w:themeColor="text1"/>
          <w:sz w:val="24"/>
          <w:szCs w:val="24"/>
          <w14:textFill>
            <w14:solidFill>
              <w14:schemeClr w14:val="tx1"/>
            </w14:solidFill>
          </w14:textFill>
        </w:rPr>
        <w:t>和</w:t>
      </w:r>
      <w:r>
        <w:rPr>
          <w:rFonts w:ascii="宋体" w:hAnsi="宋体" w:eastAsia="宋体" w:cs="Times New Roman"/>
          <w:color w:val="000000" w:themeColor="text1"/>
          <w:sz w:val="24"/>
          <w:szCs w:val="24"/>
          <w14:textFill>
            <w14:solidFill>
              <w14:schemeClr w14:val="tx1"/>
            </w14:solidFill>
          </w14:textFill>
        </w:rPr>
        <w:t>规范为准。</w:t>
      </w:r>
    </w:p>
    <w:p w14:paraId="69069CE3">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18" w:name="_Toc31634"/>
      <w:bookmarkStart w:id="119" w:name="_Toc259093671"/>
      <w:bookmarkStart w:id="120" w:name="_Toc279701242"/>
      <w:bookmarkStart w:id="121" w:name="_Toc9829"/>
      <w:bookmarkStart w:id="122" w:name="_Toc487900351"/>
      <w:bookmarkStart w:id="123" w:name="_Toc27853"/>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3 知识产权</w:t>
      </w:r>
      <w:bookmarkEnd w:id="118"/>
      <w:bookmarkEnd w:id="119"/>
      <w:bookmarkEnd w:id="120"/>
      <w:bookmarkEnd w:id="121"/>
      <w:bookmarkEnd w:id="122"/>
      <w:bookmarkEnd w:id="123"/>
    </w:p>
    <w:p w14:paraId="3DBD8DC0">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2.3.1乙</w:t>
      </w:r>
      <w:r>
        <w:rPr>
          <w:rFonts w:ascii="宋体" w:hAnsi="宋体" w:eastAsia="宋体" w:cs="Times New Roman"/>
          <w:color w:val="000000" w:themeColor="text1"/>
          <w:sz w:val="24"/>
          <w:szCs w:val="24"/>
          <w14:textFill>
            <w14:solidFill>
              <w14:schemeClr w14:val="tx1"/>
            </w14:solidFill>
          </w14:textFill>
        </w:rPr>
        <w:t>方应保证</w:t>
      </w:r>
      <w:r>
        <w:rPr>
          <w:rFonts w:hint="eastAsia" w:ascii="宋体" w:hAnsi="宋体" w:eastAsia="宋体" w:cs="Times New Roman"/>
          <w:color w:val="000000" w:themeColor="text1"/>
          <w:sz w:val="24"/>
          <w:szCs w:val="24"/>
          <w14:textFill>
            <w14:solidFill>
              <w14:schemeClr w14:val="tx1"/>
            </w14:solidFill>
          </w14:textFill>
        </w:rPr>
        <w:t>其提供的服务</w:t>
      </w:r>
      <w:r>
        <w:rPr>
          <w:rFonts w:ascii="宋体" w:hAnsi="宋体" w:eastAsia="宋体" w:cs="Times New Roman"/>
          <w:color w:val="000000" w:themeColor="text1"/>
          <w:sz w:val="24"/>
          <w:szCs w:val="24"/>
          <w14:textFill>
            <w14:solidFill>
              <w14:schemeClr w14:val="tx1"/>
            </w14:solidFill>
          </w14:textFill>
        </w:rPr>
        <w:t>不受任何第三方提出的侵犯其著作权、商标权、专利权等知识产权方面的起诉</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如果任何第三方提出侵权</w:t>
      </w:r>
      <w:r>
        <w:rPr>
          <w:rFonts w:hint="eastAsia" w:ascii="宋体" w:hAnsi="宋体" w:eastAsia="宋体" w:cs="Times New Roman"/>
          <w:color w:val="000000" w:themeColor="text1"/>
          <w:sz w:val="24"/>
          <w:szCs w:val="24"/>
          <w14:textFill>
            <w14:solidFill>
              <w14:schemeClr w14:val="tx1"/>
            </w14:solidFill>
          </w14:textFill>
        </w:rPr>
        <w:t>指控</w:t>
      </w:r>
      <w:r>
        <w:rPr>
          <w:rFonts w:ascii="宋体" w:hAnsi="宋体" w:eastAsia="宋体" w:cs="Times New Roman"/>
          <w:color w:val="000000" w:themeColor="text1"/>
          <w:sz w:val="24"/>
          <w:szCs w:val="24"/>
          <w14:textFill>
            <w14:solidFill>
              <w14:schemeClr w14:val="tx1"/>
            </w14:solidFill>
          </w14:textFill>
        </w:rPr>
        <w:t>，那么乙方须与该第三方交涉并承担由此发生的一切责任、费用和赔偿</w:t>
      </w:r>
      <w:r>
        <w:rPr>
          <w:rFonts w:hint="eastAsia" w:ascii="宋体" w:hAnsi="宋体" w:eastAsia="宋体" w:cs="Times New Roman"/>
          <w:color w:val="000000" w:themeColor="text1"/>
          <w:sz w:val="24"/>
          <w:szCs w:val="24"/>
          <w14:textFill>
            <w14:solidFill>
              <w14:schemeClr w14:val="tx1"/>
            </w14:solidFill>
          </w14:textFill>
        </w:rPr>
        <w:t>；</w:t>
      </w:r>
    </w:p>
    <w:p w14:paraId="2BF3DE0F">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2.3.2具有知识产权的计算机软件等货物的知识产权归属，</w:t>
      </w:r>
      <w:r>
        <w:rPr>
          <w:rFonts w:ascii="宋体" w:hAnsi="宋体" w:eastAsia="宋体" w:cs="Times New Roman"/>
          <w:color w:val="000000" w:themeColor="text1"/>
          <w:sz w:val="24"/>
          <w:szCs w:val="24"/>
          <w14:textFill>
            <w14:solidFill>
              <w14:schemeClr w14:val="tx1"/>
            </w14:solidFill>
          </w14:textFill>
        </w:rPr>
        <w:t>详见</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w:t>
      </w:r>
    </w:p>
    <w:p w14:paraId="459AC116">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24" w:name="_Ref467378591"/>
      <w:bookmarkStart w:id="125" w:name="_Toc487900354"/>
      <w:bookmarkStart w:id="126" w:name="_Ref467379536"/>
      <w:bookmarkStart w:id="127" w:name="_Ref467378541"/>
      <w:bookmarkStart w:id="128" w:name="_Ref467379527"/>
      <w:bookmarkStart w:id="129" w:name="_Toc279701245"/>
      <w:bookmarkStart w:id="130" w:name="_Ref467379542"/>
      <w:bookmarkStart w:id="131" w:name="_Toc259093674"/>
      <w:bookmarkStart w:id="132" w:name="_Toc30272"/>
      <w:bookmarkStart w:id="133" w:name="_Toc19074"/>
      <w:bookmarkStart w:id="134" w:name="_Toc26182"/>
      <w:r>
        <w:rPr>
          <w:rFonts w:hint="eastAsia" w:ascii="宋体" w:hAnsi="宋体" w:eastAsia="宋体" w:cs="Times New Roman"/>
          <w:b/>
          <w:bCs/>
          <w:color w:val="000000" w:themeColor="text1"/>
          <w:sz w:val="24"/>
          <w:szCs w:val="24"/>
          <w:lang w:val="zh-CN"/>
          <w14:textFill>
            <w14:solidFill>
              <w14:schemeClr w14:val="tx1"/>
            </w14:solidFill>
          </w14:textFill>
        </w:rPr>
        <w:t>2.</w:t>
      </w:r>
      <w:bookmarkEnd w:id="124"/>
      <w:bookmarkEnd w:id="125"/>
      <w:bookmarkEnd w:id="126"/>
      <w:bookmarkEnd w:id="127"/>
      <w:bookmarkEnd w:id="128"/>
      <w:bookmarkEnd w:id="129"/>
      <w:bookmarkEnd w:id="130"/>
      <w:bookmarkEnd w:id="131"/>
      <w:r>
        <w:rPr>
          <w:rFonts w:ascii="宋体" w:hAnsi="宋体" w:eastAsia="宋体" w:cs="Times New Roman"/>
          <w:b/>
          <w:bCs/>
          <w:color w:val="000000" w:themeColor="text1"/>
          <w:sz w:val="24"/>
          <w:szCs w:val="24"/>
          <w:lang w:val="zh-CN"/>
          <w14:textFill>
            <w14:solidFill>
              <w14:schemeClr w14:val="tx1"/>
            </w14:solidFill>
          </w14:textFill>
        </w:rPr>
        <w:t xml:space="preserve">4 </w:t>
      </w:r>
      <w:r>
        <w:rPr>
          <w:rFonts w:hint="eastAsia" w:ascii="宋体" w:hAnsi="宋体" w:eastAsia="宋体" w:cs="Times New Roman"/>
          <w:b/>
          <w:bCs/>
          <w:color w:val="000000" w:themeColor="text1"/>
          <w:sz w:val="24"/>
          <w:szCs w:val="24"/>
          <w:lang w:val="zh-CN"/>
          <w14:textFill>
            <w14:solidFill>
              <w14:schemeClr w14:val="tx1"/>
            </w14:solidFill>
          </w14:textFill>
        </w:rPr>
        <w:t>履约检查和问题反馈</w:t>
      </w:r>
      <w:bookmarkEnd w:id="132"/>
      <w:bookmarkEnd w:id="133"/>
      <w:bookmarkEnd w:id="134"/>
    </w:p>
    <w:p w14:paraId="5CEE4873">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bookmarkStart w:id="135" w:name="_Toc186431854"/>
      <w:bookmarkStart w:id="136" w:name="_Toc279701247"/>
      <w:bookmarkStart w:id="137" w:name="_Toc487900357"/>
      <w:bookmarkStart w:id="138" w:name="_Toc259093676"/>
      <w:bookmarkStart w:id="139" w:name="_Ref467379807"/>
      <w:bookmarkStart w:id="140" w:name="_Ref467379793"/>
      <w:r>
        <w:rPr>
          <w:rFonts w:hint="eastAsia" w:ascii="宋体" w:hAnsi="宋体" w:eastAsia="宋体" w:cs="Times New Roman"/>
          <w:color w:val="000000" w:themeColor="text1"/>
          <w:sz w:val="24"/>
          <w:szCs w:val="24"/>
          <w14:textFill>
            <w14:solidFill>
              <w14:schemeClr w14:val="tx1"/>
            </w14:solidFill>
          </w14:textFill>
        </w:rPr>
        <w:t>2.4</w:t>
      </w:r>
      <w:r>
        <w:rPr>
          <w:rFonts w:ascii="宋体" w:hAnsi="宋体" w:eastAsia="宋体" w:cs="Times New Roman"/>
          <w:color w:val="000000" w:themeColor="text1"/>
          <w:sz w:val="24"/>
          <w:szCs w:val="24"/>
          <w14:textFill>
            <w14:solidFill>
              <w14:schemeClr w14:val="tx1"/>
            </w14:solidFill>
          </w14:textFill>
        </w:rPr>
        <w:t>.1甲方</w:t>
      </w:r>
      <w:r>
        <w:rPr>
          <w:rFonts w:hint="eastAsia" w:ascii="宋体" w:hAnsi="宋体" w:eastAsia="宋体" w:cs="Times New Roman"/>
          <w:color w:val="000000" w:themeColor="text1"/>
          <w:sz w:val="24"/>
          <w:szCs w:val="24"/>
          <w14:textFill>
            <w14:solidFill>
              <w14:schemeClr w14:val="tx1"/>
            </w14:solidFill>
          </w14:textFill>
        </w:rPr>
        <w:t>有权</w:t>
      </w:r>
      <w:r>
        <w:rPr>
          <w:rFonts w:ascii="宋体" w:hAnsi="宋体" w:eastAsia="宋体" w:cs="Times New Roman"/>
          <w:color w:val="000000" w:themeColor="text1"/>
          <w:sz w:val="24"/>
          <w:szCs w:val="24"/>
          <w14:textFill>
            <w14:solidFill>
              <w14:schemeClr w14:val="tx1"/>
            </w14:solidFill>
          </w14:textFill>
        </w:rPr>
        <w:t>在其认为必要时</w:t>
      </w:r>
      <w:r>
        <w:rPr>
          <w:rFonts w:hint="eastAsia" w:ascii="宋体" w:hAnsi="宋体" w:eastAsia="宋体" w:cs="Times New Roman"/>
          <w:color w:val="000000" w:themeColor="text1"/>
          <w:sz w:val="24"/>
          <w:szCs w:val="24"/>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3C5E4D5A">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.2合同履行期间，甲方有权将履行过程中出现的问题反馈给乙方，双方当事人应以书面形式约定需要完善和改进的内容</w:t>
      </w:r>
      <w:bookmarkEnd w:id="135"/>
      <w:bookmarkStart w:id="141" w:name="_Toc186431855"/>
      <w:r>
        <w:rPr>
          <w:rFonts w:hint="eastAsia" w:ascii="宋体" w:hAnsi="宋体" w:eastAsia="宋体" w:cs="Times New Roman"/>
          <w:color w:val="000000" w:themeColor="text1"/>
          <w:sz w:val="24"/>
          <w:szCs w:val="24"/>
          <w14:textFill>
            <w14:solidFill>
              <w14:schemeClr w14:val="tx1"/>
            </w14:solidFill>
          </w14:textFill>
        </w:rPr>
        <w:t>。</w:t>
      </w:r>
    </w:p>
    <w:bookmarkEnd w:id="141"/>
    <w:p w14:paraId="08CA4CEA">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42" w:name="_Toc28451"/>
      <w:bookmarkStart w:id="143" w:name="_Toc19219"/>
      <w:bookmarkStart w:id="144" w:name="_Toc7836"/>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5结算方式和付款条件</w:t>
      </w:r>
      <w:bookmarkEnd w:id="136"/>
      <w:bookmarkEnd w:id="137"/>
      <w:bookmarkEnd w:id="138"/>
      <w:bookmarkEnd w:id="139"/>
      <w:bookmarkEnd w:id="140"/>
      <w:bookmarkEnd w:id="142"/>
      <w:bookmarkEnd w:id="143"/>
      <w:bookmarkEnd w:id="144"/>
    </w:p>
    <w:p w14:paraId="53F570F8">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详见</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w:t>
      </w:r>
    </w:p>
    <w:p w14:paraId="09FBAA45">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45" w:name="_Ref467379852"/>
      <w:bookmarkStart w:id="146" w:name="_Toc279701248"/>
      <w:bookmarkStart w:id="147" w:name="_Ref467379863"/>
      <w:bookmarkStart w:id="148" w:name="_Toc259093677"/>
      <w:bookmarkStart w:id="149" w:name="_Toc487900358"/>
      <w:bookmarkStart w:id="150" w:name="_Ref467379923"/>
      <w:bookmarkStart w:id="151" w:name="_Toc16110"/>
      <w:bookmarkStart w:id="152" w:name="_Toc774"/>
      <w:bookmarkStart w:id="153" w:name="_Toc3225"/>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6技术资料</w:t>
      </w:r>
      <w:bookmarkEnd w:id="145"/>
      <w:bookmarkEnd w:id="146"/>
      <w:bookmarkEnd w:id="147"/>
      <w:bookmarkEnd w:id="148"/>
      <w:bookmarkEnd w:id="149"/>
      <w:bookmarkEnd w:id="150"/>
      <w:r>
        <w:rPr>
          <w:rFonts w:ascii="宋体" w:hAnsi="宋体" w:eastAsia="宋体" w:cs="Times New Roman"/>
          <w:b/>
          <w:bCs/>
          <w:color w:val="000000" w:themeColor="text1"/>
          <w:sz w:val="24"/>
          <w:szCs w:val="24"/>
          <w:lang w:val="zh-CN"/>
          <w14:textFill>
            <w14:solidFill>
              <w14:schemeClr w14:val="tx1"/>
            </w14:solidFill>
          </w14:textFill>
        </w:rPr>
        <w:t>和保密义务</w:t>
      </w:r>
      <w:bookmarkEnd w:id="151"/>
      <w:bookmarkEnd w:id="152"/>
      <w:bookmarkEnd w:id="153"/>
    </w:p>
    <w:p w14:paraId="16BFDA2F">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6.1</w:t>
      </w:r>
      <w:r>
        <w:rPr>
          <w:rFonts w:hint="eastAsia" w:ascii="宋体" w:hAnsi="宋体" w:eastAsia="宋体" w:cs="Times New Roman"/>
          <w:color w:val="000000" w:themeColor="text1"/>
          <w:sz w:val="24"/>
          <w:szCs w:val="24"/>
          <w14:textFill>
            <w14:solidFill>
              <w14:schemeClr w14:val="tx1"/>
            </w14:solidFill>
          </w14:textFill>
        </w:rPr>
        <w:t>乙方有权依据合同约定和项目需要，向甲方了解有关情况，调阅有关资料等，甲方应予积极配合；</w:t>
      </w:r>
    </w:p>
    <w:p w14:paraId="5921EAA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.2乙方有义务妥善保管和保护由甲方提供的前款信息和资料等；</w:t>
      </w:r>
    </w:p>
    <w:p w14:paraId="05330D1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000000" w:themeColor="text1"/>
          <w:sz w:val="24"/>
          <w:szCs w:val="24"/>
          <w14:textFill>
            <w14:solidFill>
              <w14:schemeClr w14:val="tx1"/>
            </w14:solidFill>
          </w14:textFill>
        </w:rPr>
        <w:t>技术情报</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技术资料</w:t>
      </w:r>
      <w:r>
        <w:rPr>
          <w:rFonts w:hint="eastAsia" w:ascii="宋体" w:hAnsi="宋体" w:eastAsia="宋体" w:cs="Times New Roman"/>
          <w:color w:val="000000" w:themeColor="text1"/>
          <w:sz w:val="24"/>
          <w:szCs w:val="24"/>
          <w14:textFill>
            <w14:solidFill>
              <w14:schemeClr w14:val="tx1"/>
            </w14:solidFill>
          </w14:textFill>
        </w:rPr>
        <w:t>、商业秘密和商业信息等，并采取一切合理和必要措施和方式防止任何第三方接触到对方当事人的上述保密信息和资料。</w:t>
      </w:r>
    </w:p>
    <w:p w14:paraId="128AD739">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54" w:name="_Toc7860"/>
      <w:r>
        <w:rPr>
          <w:rFonts w:ascii="宋体" w:hAnsi="宋体" w:eastAsia="宋体" w:cs="Times New Roman"/>
          <w:b/>
          <w:bCs/>
          <w:color w:val="000000" w:themeColor="text1"/>
          <w:sz w:val="24"/>
          <w:szCs w:val="24"/>
          <w:lang w:val="zh-CN"/>
          <w14:textFill>
            <w14:solidFill>
              <w14:schemeClr w14:val="tx1"/>
            </w14:solidFill>
          </w14:textFill>
        </w:rPr>
        <w:t>2.7 质量保证</w:t>
      </w:r>
      <w:bookmarkEnd w:id="154"/>
    </w:p>
    <w:p w14:paraId="736F565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.1乙方应建立和完善履行合同的内部质量保证体系，并提供相关内部规章制度给甲方，以便甲方进行监督检查；</w:t>
      </w:r>
    </w:p>
    <w:p w14:paraId="114FF6AA">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.2乙方应保证履行合同的人员数量和素质、软件和硬件设备的配置、场地、环境和设施等满足全面履行合同的要求，并应接受甲方的监督检查。</w:t>
      </w:r>
    </w:p>
    <w:p w14:paraId="43B68DEE">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155" w:name="_Toc22267"/>
      <w:r>
        <w:rPr>
          <w:rFonts w:hint="eastAsia" w:ascii="宋体" w:hAnsi="宋体" w:eastAsia="宋体" w:cs="Times New Roman"/>
          <w:b/>
          <w:color w:val="000000" w:themeColor="text1"/>
          <w:sz w:val="24"/>
          <w:szCs w:val="24"/>
          <w14:textFill>
            <w14:solidFill>
              <w14:schemeClr w14:val="tx1"/>
            </w14:solidFill>
          </w14:textFill>
        </w:rPr>
        <w:t>2.8 延迟履行</w:t>
      </w:r>
      <w:bookmarkEnd w:id="155"/>
    </w:p>
    <w:p w14:paraId="4D6FC9D0">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在合同履行过程中，如果乙方遇到不能按时</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的情况，应及时以书面形式将不能按时</w:t>
      </w:r>
      <w:r>
        <w:rPr>
          <w:rFonts w:hint="eastAsia" w:ascii="宋体" w:hAnsi="宋体" w:eastAsia="宋体" w:cs="Times New Roman"/>
          <w:color w:val="000000" w:themeColor="text1"/>
          <w:sz w:val="24"/>
          <w:szCs w:val="24"/>
          <w14:textFill>
            <w14:solidFill>
              <w14:schemeClr w14:val="tx1"/>
            </w14:solidFill>
          </w14:textFill>
        </w:rPr>
        <w:t>提供服务</w:t>
      </w:r>
      <w:r>
        <w:rPr>
          <w:rFonts w:ascii="宋体" w:hAnsi="宋体" w:eastAsia="宋体" w:cs="Times New Roman"/>
          <w:color w:val="000000" w:themeColor="text1"/>
          <w:sz w:val="24"/>
          <w:szCs w:val="24"/>
          <w14:textFill>
            <w14:solidFill>
              <w14:schemeClr w14:val="tx1"/>
            </w14:solidFill>
          </w14:textFill>
        </w:rPr>
        <w:t>的理由、预期延误时间通知甲方</w:t>
      </w:r>
      <w:r>
        <w:rPr>
          <w:rFonts w:hint="eastAsia" w:ascii="宋体" w:hAnsi="宋体" w:eastAsia="宋体" w:cs="Times New Roman"/>
          <w:color w:val="000000" w:themeColor="text1"/>
          <w:sz w:val="24"/>
          <w:szCs w:val="24"/>
          <w14:textFill>
            <w14:solidFill>
              <w14:schemeClr w14:val="tx1"/>
            </w14:solidFill>
          </w14:textFill>
        </w:rPr>
        <w:t>；甲</w:t>
      </w:r>
      <w:r>
        <w:rPr>
          <w:rFonts w:ascii="宋体" w:hAnsi="宋体" w:eastAsia="宋体" w:cs="Times New Roman"/>
          <w:color w:val="000000" w:themeColor="text1"/>
          <w:sz w:val="24"/>
          <w:szCs w:val="24"/>
          <w14:textFill>
            <w14:solidFill>
              <w14:schemeClr w14:val="tx1"/>
            </w14:solidFill>
          </w14:textFill>
        </w:rPr>
        <w:t>方收到乙方通知后，认为其理由正当的，可以书面形式酌情同意乙方可以延长</w:t>
      </w:r>
      <w:r>
        <w:rPr>
          <w:rFonts w:hint="eastAsia" w:ascii="宋体" w:hAnsi="宋体" w:eastAsia="宋体" w:cs="Times New Roman"/>
          <w:color w:val="000000" w:themeColor="text1"/>
          <w:sz w:val="24"/>
          <w:szCs w:val="24"/>
          <w14:textFill>
            <w14:solidFill>
              <w14:schemeClr w14:val="tx1"/>
            </w14:solidFill>
          </w14:textFill>
        </w:rPr>
        <w:t>履行</w:t>
      </w:r>
      <w:r>
        <w:rPr>
          <w:rFonts w:ascii="宋体" w:hAnsi="宋体" w:eastAsia="宋体" w:cs="Times New Roman"/>
          <w:color w:val="000000" w:themeColor="text1"/>
          <w:sz w:val="24"/>
          <w:szCs w:val="24"/>
          <w14:textFill>
            <w14:solidFill>
              <w14:schemeClr w14:val="tx1"/>
            </w14:solidFill>
          </w14:textFill>
        </w:rPr>
        <w:t>的具体时间。</w:t>
      </w:r>
    </w:p>
    <w:p w14:paraId="549E0F0C">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56" w:name="_Toc7502"/>
      <w:bookmarkStart w:id="157" w:name="_Ref467378121"/>
      <w:bookmarkStart w:id="158" w:name="_Toc259093683"/>
      <w:bookmarkStart w:id="159" w:name="_Toc487900364"/>
      <w:bookmarkStart w:id="160" w:name="_Toc279701254"/>
      <w:r>
        <w:rPr>
          <w:rFonts w:ascii="宋体" w:hAnsi="宋体" w:eastAsia="宋体" w:cs="Times New Roman"/>
          <w:b/>
          <w:bCs/>
          <w:color w:val="000000" w:themeColor="text1"/>
          <w:sz w:val="24"/>
          <w:szCs w:val="24"/>
          <w:lang w:val="zh-CN"/>
          <w14:textFill>
            <w14:solidFill>
              <w14:schemeClr w14:val="tx1"/>
            </w14:solidFill>
          </w14:textFill>
        </w:rPr>
        <w:t>2.9 合同变更</w:t>
      </w:r>
      <w:bookmarkEnd w:id="156"/>
    </w:p>
    <w:p w14:paraId="4EB41B1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.1双方当事人协商一致，可以签订书面补充合同的形式变更合同，但不得违背采购文件确定的事项；</w:t>
      </w:r>
    </w:p>
    <w:p w14:paraId="6E7F67F7">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61" w:name="_Toc487900369"/>
      <w:bookmarkStart w:id="162" w:name="_Toc259093688"/>
      <w:bookmarkStart w:id="163" w:name="_Toc279701259"/>
    </w:p>
    <w:p w14:paraId="28C4542F">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64" w:name="_Toc15237"/>
      <w:bookmarkStart w:id="165" w:name="_Toc22955"/>
      <w:bookmarkStart w:id="166" w:name="_Toc10366"/>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0合同转让</w:t>
      </w:r>
      <w:bookmarkEnd w:id="161"/>
      <w:bookmarkEnd w:id="162"/>
      <w:bookmarkEnd w:id="163"/>
      <w:r>
        <w:rPr>
          <w:rFonts w:ascii="宋体" w:hAnsi="宋体" w:eastAsia="宋体" w:cs="Times New Roman"/>
          <w:b/>
          <w:bCs/>
          <w:color w:val="000000" w:themeColor="text1"/>
          <w:sz w:val="24"/>
          <w:szCs w:val="24"/>
          <w:lang w:val="zh-CN"/>
          <w14:textFill>
            <w14:solidFill>
              <w14:schemeClr w14:val="tx1"/>
            </w14:solidFill>
          </w14:textFill>
        </w:rPr>
        <w:t>和分包</w:t>
      </w:r>
      <w:bookmarkEnd w:id="164"/>
      <w:bookmarkEnd w:id="165"/>
      <w:bookmarkEnd w:id="166"/>
    </w:p>
    <w:p w14:paraId="0EDE66D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合同的权利义务依法不</w:t>
      </w:r>
      <w:r>
        <w:rPr>
          <w:rFonts w:hint="eastAsia" w:ascii="宋体" w:hAnsi="宋体" w:eastAsia="宋体" w:cs="Times New Roman"/>
          <w:color w:val="000000" w:themeColor="text1"/>
          <w:sz w:val="24"/>
          <w:szCs w:val="24"/>
          <w14:textFill>
            <w14:solidFill>
              <w14:schemeClr w14:val="tx1"/>
            </w14:solidFill>
          </w14:textFill>
        </w:rPr>
        <w:t>得</w:t>
      </w:r>
      <w:r>
        <w:rPr>
          <w:rFonts w:ascii="宋体" w:hAnsi="宋体" w:eastAsia="宋体" w:cs="Times New Roman"/>
          <w:color w:val="000000" w:themeColor="text1"/>
          <w:sz w:val="24"/>
          <w:szCs w:val="24"/>
          <w14:textFill>
            <w14:solidFill>
              <w14:schemeClr w14:val="tx1"/>
            </w14:solidFill>
          </w14:textFill>
        </w:rPr>
        <w:t>转让</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但经甲方</w:t>
      </w:r>
      <w:r>
        <w:rPr>
          <w:rFonts w:hint="eastAsia" w:ascii="宋体" w:hAnsi="宋体" w:eastAsia="宋体" w:cs="Times New Roman"/>
          <w:color w:val="000000" w:themeColor="text1"/>
          <w:sz w:val="24"/>
          <w:szCs w:val="24"/>
          <w14:textFill>
            <w14:solidFill>
              <w14:schemeClr w14:val="tx1"/>
            </w14:solidFill>
          </w14:textFill>
        </w:rPr>
        <w:t>同意，乙方可以依法采取分包方式履行合同，即：依法可以</w:t>
      </w:r>
      <w:r>
        <w:rPr>
          <w:rFonts w:ascii="宋体" w:hAnsi="宋体" w:eastAsia="宋体" w:cs="Times New Roman"/>
          <w:color w:val="000000" w:themeColor="text1"/>
          <w:sz w:val="24"/>
          <w:szCs w:val="24"/>
          <w14:textFill>
            <w14:solidFill>
              <w14:schemeClr w14:val="tx1"/>
            </w14:solidFill>
          </w14:textFill>
        </w:rPr>
        <w:t>将合同项下的部分非主体、非关键性工作分包给他人完成</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接受分包的人应当具备相应的资格条件，并不得再次分包</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且乙方应就分包项目向甲方负责</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并</w:t>
      </w:r>
      <w:r>
        <w:rPr>
          <w:rFonts w:hint="eastAsia" w:ascii="宋体" w:hAnsi="宋体" w:eastAsia="宋体" w:cs="Times New Roman"/>
          <w:color w:val="000000" w:themeColor="text1"/>
          <w:sz w:val="24"/>
          <w:szCs w:val="24"/>
          <w14:textFill>
            <w14:solidFill>
              <w14:schemeClr w14:val="tx1"/>
            </w14:solidFill>
          </w14:textFill>
        </w:rPr>
        <w:t>与分包供应商就分包项目向甲方承担连带责任。</w:t>
      </w:r>
    </w:p>
    <w:p w14:paraId="051B2E4E">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67" w:name="_Toc16508"/>
      <w:bookmarkStart w:id="168" w:name="_Toc14066"/>
      <w:bookmarkStart w:id="169" w:name="_Toc13566"/>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1 不可抗力</w:t>
      </w:r>
      <w:bookmarkEnd w:id="167"/>
      <w:bookmarkEnd w:id="168"/>
      <w:bookmarkEnd w:id="169"/>
    </w:p>
    <w:p w14:paraId="7ECC19A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ascii="宋体" w:hAnsi="宋体" w:eastAsia="宋体" w:cs="Times New Roman"/>
          <w:color w:val="000000" w:themeColor="text1"/>
          <w:sz w:val="24"/>
          <w:szCs w:val="24"/>
          <w14:textFill>
            <w14:solidFill>
              <w14:schemeClr w14:val="tx1"/>
            </w14:solidFill>
          </w14:textFill>
        </w:rPr>
        <w:t>；</w:t>
      </w:r>
    </w:p>
    <w:p w14:paraId="7701527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.2因不可抗力致使不能实现合同目的的，当事人可以解除合同；</w:t>
      </w:r>
    </w:p>
    <w:p w14:paraId="08C68D6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.3因</w:t>
      </w:r>
      <w:r>
        <w:rPr>
          <w:rFonts w:ascii="宋体" w:hAnsi="宋体" w:eastAsia="宋体" w:cs="Times New Roman"/>
          <w:color w:val="000000" w:themeColor="text1"/>
          <w:sz w:val="24"/>
          <w:szCs w:val="24"/>
          <w14:textFill>
            <w14:solidFill>
              <w14:schemeClr w14:val="tx1"/>
            </w14:solidFill>
          </w14:textFill>
        </w:rPr>
        <w:t>不可抗力致使合同有变更必要的，双方当事人应在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约定时间内以书面形式变更合同</w:t>
      </w:r>
      <w:r>
        <w:rPr>
          <w:rFonts w:hint="eastAsia" w:ascii="宋体" w:hAnsi="宋体" w:eastAsia="宋体" w:cs="Times New Roman"/>
          <w:color w:val="000000" w:themeColor="text1"/>
          <w:sz w:val="24"/>
          <w:szCs w:val="24"/>
          <w14:textFill>
            <w14:solidFill>
              <w14:schemeClr w14:val="tx1"/>
            </w14:solidFill>
          </w14:textFill>
        </w:rPr>
        <w:t>；</w:t>
      </w:r>
    </w:p>
    <w:p w14:paraId="442B9C5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受</w:t>
      </w:r>
      <w:r>
        <w:rPr>
          <w:rFonts w:hint="eastAsia" w:ascii="宋体" w:hAnsi="宋体" w:eastAsia="宋体" w:cs="Times New Roman"/>
          <w:color w:val="000000" w:themeColor="text1"/>
          <w:sz w:val="24"/>
          <w:szCs w:val="24"/>
          <w14:textFill>
            <w14:solidFill>
              <w14:schemeClr w14:val="tx1"/>
            </w14:solidFill>
          </w14:textFill>
        </w:rPr>
        <w:t>不可抗力</w:t>
      </w:r>
      <w:r>
        <w:rPr>
          <w:rFonts w:ascii="宋体" w:hAnsi="宋体" w:eastAsia="宋体" w:cs="Times New Roman"/>
          <w:color w:val="000000" w:themeColor="text1"/>
          <w:sz w:val="24"/>
          <w:szCs w:val="24"/>
          <w14:textFill>
            <w14:solidFill>
              <w14:schemeClr w14:val="tx1"/>
            </w14:solidFill>
          </w14:textFill>
        </w:rPr>
        <w:t>影响的一方在不可抗力发生后</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应在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约定时间内以书面形式通知</w:t>
      </w:r>
      <w:r>
        <w:rPr>
          <w:rFonts w:hint="eastAsia" w:ascii="宋体" w:hAnsi="宋体" w:eastAsia="宋体" w:cs="Times New Roman"/>
          <w:color w:val="000000" w:themeColor="text1"/>
          <w:sz w:val="24"/>
          <w:szCs w:val="24"/>
          <w14:textFill>
            <w14:solidFill>
              <w14:schemeClr w14:val="tx1"/>
            </w14:solidFill>
          </w14:textFill>
        </w:rPr>
        <w:t>对</w:t>
      </w:r>
      <w:r>
        <w:rPr>
          <w:rFonts w:ascii="宋体" w:hAnsi="宋体" w:eastAsia="宋体" w:cs="Times New Roman"/>
          <w:color w:val="000000" w:themeColor="text1"/>
          <w:sz w:val="24"/>
          <w:szCs w:val="24"/>
          <w14:textFill>
            <w14:solidFill>
              <w14:schemeClr w14:val="tx1"/>
            </w14:solidFill>
          </w14:textFill>
        </w:rPr>
        <w:t>方当事人，并在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约定时间内，将有关部门出具的证明文件送达</w:t>
      </w:r>
      <w:r>
        <w:rPr>
          <w:rFonts w:hint="eastAsia" w:ascii="宋体" w:hAnsi="宋体" w:eastAsia="宋体" w:cs="Times New Roman"/>
          <w:color w:val="000000" w:themeColor="text1"/>
          <w:sz w:val="24"/>
          <w:szCs w:val="24"/>
          <w14:textFill>
            <w14:solidFill>
              <w14:schemeClr w14:val="tx1"/>
            </w14:solidFill>
          </w14:textFill>
        </w:rPr>
        <w:t>对方当事人</w:t>
      </w:r>
      <w:r>
        <w:rPr>
          <w:rFonts w:ascii="宋体" w:hAnsi="宋体" w:eastAsia="宋体" w:cs="Times New Roman"/>
          <w:color w:val="000000" w:themeColor="text1"/>
          <w:sz w:val="24"/>
          <w:szCs w:val="24"/>
          <w14:textFill>
            <w14:solidFill>
              <w14:schemeClr w14:val="tx1"/>
            </w14:solidFill>
          </w14:textFill>
        </w:rPr>
        <w:t>。</w:t>
      </w:r>
    </w:p>
    <w:p w14:paraId="581942A4">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70" w:name="_Toc487900365"/>
      <w:bookmarkStart w:id="171" w:name="_Toc279701255"/>
      <w:bookmarkStart w:id="172" w:name="_Toc6969"/>
      <w:bookmarkStart w:id="173" w:name="_Toc259093684"/>
      <w:bookmarkStart w:id="174" w:name="_Toc689"/>
      <w:bookmarkStart w:id="175" w:name="_Toc30676"/>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12税费</w:t>
      </w:r>
      <w:bookmarkEnd w:id="170"/>
      <w:bookmarkEnd w:id="171"/>
      <w:bookmarkEnd w:id="172"/>
      <w:bookmarkEnd w:id="173"/>
      <w:bookmarkEnd w:id="174"/>
      <w:bookmarkEnd w:id="175"/>
    </w:p>
    <w:p w14:paraId="5C1E7EA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与合同有关的一切税费</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均按照中华人民共和国法律的相关规定</w:t>
      </w:r>
      <w:r>
        <w:rPr>
          <w:rFonts w:hint="eastAsia" w:ascii="宋体" w:hAnsi="宋体" w:eastAsia="宋体" w:cs="Times New Roman"/>
          <w:color w:val="000000" w:themeColor="text1"/>
          <w:sz w:val="24"/>
          <w:szCs w:val="24"/>
          <w14:textFill>
            <w14:solidFill>
              <w14:schemeClr w14:val="tx1"/>
            </w14:solidFill>
          </w14:textFill>
        </w:rPr>
        <w:t>缴纳</w:t>
      </w:r>
      <w:r>
        <w:rPr>
          <w:rFonts w:ascii="宋体" w:hAnsi="宋体" w:eastAsia="宋体" w:cs="Times New Roman"/>
          <w:color w:val="000000" w:themeColor="text1"/>
          <w:sz w:val="24"/>
          <w:szCs w:val="24"/>
          <w14:textFill>
            <w14:solidFill>
              <w14:schemeClr w14:val="tx1"/>
            </w14:solidFill>
          </w14:textFill>
        </w:rPr>
        <w:t>。</w:t>
      </w:r>
    </w:p>
    <w:p w14:paraId="18ED5D74">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76" w:name="_Toc8298"/>
      <w:bookmarkStart w:id="177" w:name="_Toc487900368"/>
      <w:bookmarkStart w:id="178" w:name="_Toc7102"/>
      <w:bookmarkStart w:id="179" w:name="_Toc259093687"/>
      <w:bookmarkStart w:id="180" w:name="_Toc16959"/>
      <w:bookmarkStart w:id="181" w:name="_Toc279701258"/>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13乙方破产</w:t>
      </w:r>
      <w:bookmarkEnd w:id="176"/>
      <w:bookmarkEnd w:id="177"/>
      <w:bookmarkEnd w:id="178"/>
      <w:bookmarkEnd w:id="179"/>
      <w:bookmarkEnd w:id="180"/>
      <w:bookmarkEnd w:id="181"/>
    </w:p>
    <w:p w14:paraId="6526F8F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eastAsia="宋体" w:cs="Times New Roman"/>
          <w:color w:val="000000" w:themeColor="text1"/>
          <w:sz w:val="24"/>
          <w:szCs w:val="24"/>
          <w14:textFill>
            <w14:solidFill>
              <w14:schemeClr w14:val="tx1"/>
            </w14:solidFill>
          </w14:textFill>
        </w:rPr>
        <w:t>，但合同的</w:t>
      </w:r>
      <w:r>
        <w:rPr>
          <w:rFonts w:ascii="宋体" w:hAnsi="宋体" w:eastAsia="宋体" w:cs="Times New Roman"/>
          <w:color w:val="000000" w:themeColor="text1"/>
          <w:sz w:val="24"/>
          <w:szCs w:val="24"/>
          <w14:textFill>
            <w14:solidFill>
              <w14:schemeClr w14:val="tx1"/>
            </w14:solidFill>
          </w14:textFill>
        </w:rPr>
        <w:t>终止不损害或不影响甲方已经采取或将要采取的任何要求乙方支付违约金</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赔偿损失等的行动或补救措施的权利</w:t>
      </w:r>
      <w:r>
        <w:rPr>
          <w:rFonts w:hint="eastAsia" w:ascii="宋体" w:hAnsi="宋体" w:eastAsia="宋体" w:cs="Times New Roman"/>
          <w:color w:val="000000" w:themeColor="text1"/>
          <w:sz w:val="24"/>
          <w:szCs w:val="24"/>
          <w14:textFill>
            <w14:solidFill>
              <w14:schemeClr w14:val="tx1"/>
            </w14:solidFill>
          </w14:textFill>
        </w:rPr>
        <w:t>。</w:t>
      </w:r>
    </w:p>
    <w:p w14:paraId="232AF78D">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182" w:name="_Toc29333"/>
      <w:bookmarkStart w:id="183" w:name="_Toc6134"/>
      <w:bookmarkStart w:id="184" w:name="_Toc15387"/>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4</w:t>
      </w:r>
      <w:r>
        <w:rPr>
          <w:rFonts w:hint="eastAsia" w:ascii="宋体" w:hAnsi="宋体" w:eastAsia="宋体" w:cs="Times New Roman"/>
          <w:b/>
          <w:bCs/>
          <w:color w:val="000000" w:themeColor="text1"/>
          <w:sz w:val="24"/>
          <w:szCs w:val="24"/>
          <w:lang w:val="zh-CN"/>
          <w14:textFill>
            <w14:solidFill>
              <w14:schemeClr w14:val="tx1"/>
            </w14:solidFill>
          </w14:textFill>
        </w:rPr>
        <w:t xml:space="preserve"> 合同中止、终止</w:t>
      </w:r>
      <w:bookmarkEnd w:id="182"/>
      <w:bookmarkEnd w:id="183"/>
      <w:bookmarkEnd w:id="184"/>
    </w:p>
    <w:p w14:paraId="42679671">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.1双方当事人不得擅自中止或者终止合同；</w:t>
      </w:r>
    </w:p>
    <w:p w14:paraId="1B034C10">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w:t>
      </w: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6889C193">
      <w:pPr>
        <w:spacing w:line="360" w:lineRule="auto"/>
        <w:ind w:firstLine="437"/>
        <w:outlineLvl w:val="2"/>
        <w:rPr>
          <w:rFonts w:hint="eastAsia" w:ascii="宋体" w:hAnsi="宋体" w:eastAsia="宋体" w:cs="Times New Roman"/>
          <w:b/>
          <w:bCs/>
          <w:color w:val="000000" w:themeColor="text1"/>
          <w:sz w:val="24"/>
          <w:szCs w:val="24"/>
          <w:lang w:val="zh-CN"/>
          <w14:textFill>
            <w14:solidFill>
              <w14:schemeClr w14:val="tx1"/>
            </w14:solidFill>
          </w14:textFill>
        </w:rPr>
      </w:pPr>
      <w:bookmarkStart w:id="185" w:name="_Toc1125"/>
      <w:bookmarkStart w:id="186" w:name="_Toc14563"/>
      <w:bookmarkStart w:id="187" w:name="_Toc6596"/>
      <w:r>
        <w:rPr>
          <w:rFonts w:hint="eastAsia" w:ascii="宋体" w:hAnsi="宋体" w:eastAsia="宋体" w:cs="Times New Roman"/>
          <w:b/>
          <w:bCs/>
          <w:color w:val="000000" w:themeColor="text1"/>
          <w:sz w:val="24"/>
          <w:szCs w:val="24"/>
          <w:lang w:val="zh-CN"/>
          <w14:textFill>
            <w14:solidFill>
              <w14:schemeClr w14:val="tx1"/>
            </w14:solidFill>
          </w14:textFill>
        </w:rPr>
        <w:t>2.1</w:t>
      </w:r>
      <w:r>
        <w:rPr>
          <w:rFonts w:ascii="宋体" w:hAnsi="宋体" w:eastAsia="宋体" w:cs="Times New Roman"/>
          <w:b/>
          <w:bCs/>
          <w:color w:val="000000" w:themeColor="text1"/>
          <w:sz w:val="24"/>
          <w:szCs w:val="24"/>
          <w:lang w:val="zh-CN"/>
          <w14:textFill>
            <w14:solidFill>
              <w14:schemeClr w14:val="tx1"/>
            </w14:solidFill>
          </w14:textFill>
        </w:rPr>
        <w:t>5</w:t>
      </w:r>
      <w:r>
        <w:rPr>
          <w:rFonts w:hint="eastAsia" w:ascii="宋体" w:hAnsi="宋体" w:eastAsia="宋体" w:cs="Times New Roman"/>
          <w:b/>
          <w:bCs/>
          <w:color w:val="000000" w:themeColor="text1"/>
          <w:sz w:val="24"/>
          <w:szCs w:val="24"/>
          <w:lang w:val="zh-CN"/>
          <w14:textFill>
            <w14:solidFill>
              <w14:schemeClr w14:val="tx1"/>
            </w14:solidFill>
          </w14:textFill>
        </w:rPr>
        <w:t xml:space="preserve"> 检验和验收</w:t>
      </w:r>
      <w:bookmarkEnd w:id="185"/>
      <w:bookmarkEnd w:id="186"/>
      <w:bookmarkEnd w:id="187"/>
    </w:p>
    <w:p w14:paraId="07D41459">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5</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1乙方按照</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的约定</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定期提交服务报告</w:t>
      </w:r>
      <w:r>
        <w:rPr>
          <w:rFonts w:hint="eastAsia" w:ascii="宋体" w:hAnsi="宋体" w:eastAsia="宋体" w:cs="Times New Roman"/>
          <w:color w:val="000000" w:themeColor="text1"/>
          <w:sz w:val="24"/>
          <w:szCs w:val="24"/>
          <w14:textFill>
            <w14:solidFill>
              <w14:schemeClr w14:val="tx1"/>
            </w14:solidFill>
          </w14:textFill>
        </w:rPr>
        <w:t>，甲方按照</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的约定进行定期验收</w:t>
      </w:r>
      <w:r>
        <w:rPr>
          <w:rFonts w:hint="eastAsia" w:ascii="宋体" w:hAnsi="宋体" w:eastAsia="宋体" w:cs="Times New Roman"/>
          <w:color w:val="000000" w:themeColor="text1"/>
          <w:sz w:val="24"/>
          <w:szCs w:val="24"/>
          <w14:textFill>
            <w14:solidFill>
              <w14:schemeClr w14:val="tx1"/>
            </w14:solidFill>
          </w14:textFill>
        </w:rPr>
        <w:t>；</w:t>
      </w:r>
    </w:p>
    <w:p w14:paraId="6E1D5C0B">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60F74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2.15.3检验和验收标准、程序等具体内容以及前述验收书的效力详见</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hint="eastAsia" w:ascii="宋体" w:hAnsi="宋体" w:eastAsia="宋体" w:cs="Times New Roman"/>
          <w:i/>
          <w:color w:val="000000" w:themeColor="text1"/>
          <w:sz w:val="24"/>
          <w:szCs w:val="24"/>
          <w14:textFill>
            <w14:solidFill>
              <w14:schemeClr w14:val="tx1"/>
            </w14:solidFill>
          </w14:textFill>
        </w:rPr>
        <w:t>。</w:t>
      </w:r>
    </w:p>
    <w:bookmarkEnd w:id="157"/>
    <w:bookmarkEnd w:id="158"/>
    <w:bookmarkEnd w:id="159"/>
    <w:bookmarkEnd w:id="160"/>
    <w:p w14:paraId="5DFC0EA0">
      <w:pPr>
        <w:spacing w:line="360" w:lineRule="auto"/>
        <w:ind w:firstLine="437"/>
        <w:outlineLvl w:val="2"/>
        <w:rPr>
          <w:rFonts w:hint="eastAsia" w:ascii="宋体" w:hAnsi="宋体" w:eastAsia="宋体" w:cs="Times New Roman"/>
          <w:b/>
          <w:bCs/>
          <w:color w:val="000000" w:themeColor="text1"/>
          <w:sz w:val="24"/>
          <w:szCs w:val="24"/>
          <w14:textFill>
            <w14:solidFill>
              <w14:schemeClr w14:val="tx1"/>
            </w14:solidFill>
          </w14:textFill>
        </w:rPr>
      </w:pPr>
      <w:bookmarkStart w:id="188" w:name="_Toc18567"/>
      <w:bookmarkStart w:id="189" w:name="_Toc259093692"/>
      <w:bookmarkStart w:id="190" w:name="_Toc487900373"/>
      <w:bookmarkStart w:id="191" w:name="_Toc279701263"/>
      <w:bookmarkStart w:id="192" w:name="_Toc10330"/>
      <w:bookmarkStart w:id="193" w:name="_Toc12773"/>
      <w:r>
        <w:rPr>
          <w:rFonts w:hint="eastAsia" w:ascii="宋体" w:hAnsi="宋体" w:eastAsia="宋体" w:cs="Times New Roman"/>
          <w:b/>
          <w:bCs/>
          <w:color w:val="000000" w:themeColor="text1"/>
          <w:sz w:val="24"/>
          <w:szCs w:val="24"/>
          <w14:textFill>
            <w14:solidFill>
              <w14:schemeClr w14:val="tx1"/>
            </w14:solidFill>
          </w14:textFill>
        </w:rPr>
        <w:t>2.</w:t>
      </w:r>
      <w:r>
        <w:rPr>
          <w:rFonts w:ascii="宋体" w:hAnsi="宋体" w:eastAsia="宋体" w:cs="Times New Roman"/>
          <w:b/>
          <w:bCs/>
          <w:color w:val="000000" w:themeColor="text1"/>
          <w:sz w:val="24"/>
          <w:szCs w:val="24"/>
          <w14:textFill>
            <w14:solidFill>
              <w14:schemeClr w14:val="tx1"/>
            </w14:solidFill>
          </w14:textFill>
        </w:rPr>
        <w:t>16</w:t>
      </w:r>
      <w:r>
        <w:rPr>
          <w:rFonts w:hint="eastAsia" w:ascii="宋体" w:hAnsi="宋体" w:eastAsia="宋体" w:cs="Times New Roman"/>
          <w:b/>
          <w:bCs/>
          <w:color w:val="000000" w:themeColor="text1"/>
          <w:sz w:val="24"/>
          <w:szCs w:val="24"/>
          <w:lang w:val="zh-CN"/>
          <w14:textFill>
            <w14:solidFill>
              <w14:schemeClr w14:val="tx1"/>
            </w14:solidFill>
          </w14:textFill>
        </w:rPr>
        <w:t>合同使用的文字和</w:t>
      </w:r>
      <w:r>
        <w:rPr>
          <w:rFonts w:ascii="宋体" w:hAnsi="宋体" w:eastAsia="宋体" w:cs="Times New Roman"/>
          <w:b/>
          <w:bCs/>
          <w:color w:val="000000" w:themeColor="text1"/>
          <w:sz w:val="24"/>
          <w:szCs w:val="24"/>
          <w:lang w:val="zh-CN"/>
          <w14:textFill>
            <w14:solidFill>
              <w14:schemeClr w14:val="tx1"/>
            </w14:solidFill>
          </w14:textFill>
        </w:rPr>
        <w:t>适用的法律</w:t>
      </w:r>
      <w:bookmarkEnd w:id="188"/>
      <w:bookmarkEnd w:id="189"/>
      <w:bookmarkEnd w:id="190"/>
      <w:bookmarkEnd w:id="191"/>
      <w:bookmarkEnd w:id="192"/>
      <w:bookmarkEnd w:id="193"/>
    </w:p>
    <w:p w14:paraId="29C9FF3F">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16.1合同使用汉语书就</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变更和解释</w:t>
      </w:r>
      <w:r>
        <w:rPr>
          <w:rFonts w:hint="eastAsia" w:ascii="宋体" w:hAnsi="宋体" w:eastAsia="宋体" w:cs="Times New Roman"/>
          <w:color w:val="000000" w:themeColor="text1"/>
          <w:sz w:val="24"/>
          <w:szCs w:val="24"/>
          <w14:textFill>
            <w14:solidFill>
              <w14:schemeClr w14:val="tx1"/>
            </w14:solidFill>
          </w14:textFill>
        </w:rPr>
        <w:t>；</w:t>
      </w:r>
    </w:p>
    <w:p w14:paraId="4551D5AC">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16</w:t>
      </w:r>
      <w:r>
        <w:rPr>
          <w:rFonts w:hint="eastAsia" w:ascii="宋体" w:hAnsi="宋体" w:eastAsia="宋体" w:cs="Times New Roman"/>
          <w:color w:val="000000" w:themeColor="text1"/>
          <w:sz w:val="24"/>
          <w:szCs w:val="24"/>
          <w14:textFill>
            <w14:solidFill>
              <w14:schemeClr w14:val="tx1"/>
            </w14:solidFill>
          </w14:textFill>
        </w:rPr>
        <w:t>.2合同适用</w:t>
      </w:r>
      <w:r>
        <w:rPr>
          <w:rFonts w:ascii="宋体" w:hAnsi="宋体" w:eastAsia="宋体" w:cs="Times New Roman"/>
          <w:color w:val="000000" w:themeColor="text1"/>
          <w:sz w:val="24"/>
          <w:szCs w:val="24"/>
          <w14:textFill>
            <w14:solidFill>
              <w14:schemeClr w14:val="tx1"/>
            </w14:solidFill>
          </w14:textFill>
        </w:rPr>
        <w:t>中华人民共和国法律。</w:t>
      </w:r>
    </w:p>
    <w:p w14:paraId="6F7F13C1">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194" w:name="_Toc279701264"/>
      <w:bookmarkStart w:id="195" w:name="_Toc3148"/>
      <w:bookmarkStart w:id="196" w:name="_Toc12004"/>
      <w:bookmarkStart w:id="197" w:name="_Toc16673"/>
      <w:bookmarkStart w:id="198" w:name="_Toc259093693"/>
      <w:bookmarkStart w:id="199" w:name="_Toc487900374"/>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17履约保证金</w:t>
      </w:r>
      <w:bookmarkEnd w:id="194"/>
      <w:bookmarkEnd w:id="195"/>
      <w:bookmarkEnd w:id="196"/>
      <w:bookmarkEnd w:id="197"/>
      <w:bookmarkEnd w:id="198"/>
    </w:p>
    <w:p w14:paraId="7925BF02">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17</w:t>
      </w:r>
      <w:r>
        <w:rPr>
          <w:rFonts w:hint="eastAsia" w:ascii="宋体" w:hAnsi="宋体" w:eastAsia="宋体" w:cs="Times New Roman"/>
          <w:color w:val="000000" w:themeColor="text1"/>
          <w:sz w:val="24"/>
          <w:szCs w:val="24"/>
          <w14:textFill>
            <w14:solidFill>
              <w14:schemeClr w14:val="tx1"/>
            </w14:solidFill>
          </w14:textFill>
        </w:rPr>
        <w:t>.1采购文件要求乙方提交履约保证金的，乙方</w:t>
      </w:r>
      <w:r>
        <w:rPr>
          <w:rFonts w:ascii="宋体" w:hAnsi="宋体" w:eastAsia="宋体" w:cs="Times New Roman"/>
          <w:color w:val="000000" w:themeColor="text1"/>
          <w:sz w:val="24"/>
          <w:szCs w:val="24"/>
          <w14:textFill>
            <w14:solidFill>
              <w14:schemeClr w14:val="tx1"/>
            </w14:solidFill>
          </w14:textFill>
        </w:rPr>
        <w:t>应按</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约定的方式</w:t>
      </w:r>
      <w:r>
        <w:rPr>
          <w:rFonts w:hint="eastAsia" w:ascii="宋体" w:hAnsi="宋体" w:eastAsia="宋体" w:cs="Times New Roman"/>
          <w:color w:val="000000" w:themeColor="text1"/>
          <w:sz w:val="24"/>
          <w:szCs w:val="24"/>
          <w14:textFill>
            <w14:solidFill>
              <w14:schemeClr w14:val="tx1"/>
            </w14:solidFill>
          </w14:textFill>
        </w:rPr>
        <w:t>，以支票、汇票、本票或者金融机构、担保机构出具的保函等非现金形式提交；</w:t>
      </w:r>
    </w:p>
    <w:p w14:paraId="381D9F25">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17.2履约保证金在</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约定期间内不予退还或者应完全有效</w:t>
      </w:r>
      <w:r>
        <w:rPr>
          <w:rFonts w:hint="eastAsia" w:ascii="宋体" w:hAnsi="宋体" w:eastAsia="宋体" w:cs="Times New Roman"/>
          <w:color w:val="000000" w:themeColor="text1"/>
          <w:sz w:val="24"/>
          <w:szCs w:val="24"/>
          <w14:textFill>
            <w14:solidFill>
              <w14:schemeClr w14:val="tx1"/>
            </w14:solidFill>
          </w14:textFill>
        </w:rPr>
        <w:t>，前述约定期间届满</w:t>
      </w:r>
      <w:r>
        <w:rPr>
          <w:rFonts w:ascii="宋体" w:hAnsi="宋体" w:eastAsia="宋体" w:cs="Times New Roman"/>
          <w:color w:val="000000" w:themeColor="text1"/>
          <w:sz w:val="24"/>
          <w:szCs w:val="24"/>
          <w14:textFill>
            <w14:solidFill>
              <w14:schemeClr w14:val="tx1"/>
            </w14:solidFill>
          </w14:textFill>
        </w:rPr>
        <w:t>之日起</w:t>
      </w:r>
      <w:r>
        <w:rPr>
          <w:rFonts w:hint="eastAsia" w:ascii="宋体" w:hAnsi="宋体" w:eastAsia="宋体" w:cs="Times New Roman"/>
          <w:color w:val="000000" w:themeColor="text1"/>
          <w:sz w:val="24"/>
          <w:szCs w:val="24"/>
          <w14:textFill>
            <w14:solidFill>
              <w14:schemeClr w14:val="tx1"/>
            </w14:solidFill>
          </w14:textFill>
        </w:rPr>
        <w:t>个</w:t>
      </w:r>
      <w:r>
        <w:rPr>
          <w:rFonts w:ascii="宋体" w:hAnsi="宋体" w:eastAsia="宋体" w:cs="Times New Roman"/>
          <w:color w:val="000000" w:themeColor="text1"/>
          <w:sz w:val="24"/>
          <w:szCs w:val="24"/>
          <w14:textFill>
            <w14:solidFill>
              <w14:schemeClr w14:val="tx1"/>
            </w14:solidFill>
          </w14:textFill>
        </w:rPr>
        <w:t>工作日内，甲方应将履约保证金退还乙方</w:t>
      </w:r>
      <w:r>
        <w:rPr>
          <w:rFonts w:hint="eastAsia" w:ascii="宋体" w:hAnsi="宋体" w:eastAsia="宋体" w:cs="Times New Roman"/>
          <w:color w:val="000000" w:themeColor="text1"/>
          <w:sz w:val="24"/>
          <w:szCs w:val="24"/>
          <w14:textFill>
            <w14:solidFill>
              <w14:schemeClr w14:val="tx1"/>
            </w14:solidFill>
          </w14:textFill>
        </w:rPr>
        <w:t>，甲方逾期退还履约保证金应承担违约责任。</w:t>
      </w:r>
    </w:p>
    <w:p w14:paraId="636F2C2D">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17</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如果乙方不履行合同</w:t>
      </w:r>
      <w:r>
        <w:rPr>
          <w:rFonts w:hint="eastAsia" w:ascii="宋体" w:hAnsi="宋体" w:eastAsia="宋体" w:cs="Times New Roman"/>
          <w:color w:val="000000" w:themeColor="text1"/>
          <w:sz w:val="24"/>
          <w:szCs w:val="24"/>
          <w14:textFill>
            <w14:solidFill>
              <w14:schemeClr w14:val="tx1"/>
            </w14:solidFill>
          </w14:textFill>
        </w:rPr>
        <w:t>，履约保证金不予退还；如果乙方</w:t>
      </w:r>
      <w:r>
        <w:rPr>
          <w:rFonts w:ascii="宋体" w:hAnsi="宋体" w:eastAsia="宋体" w:cs="Times New Roman"/>
          <w:color w:val="000000" w:themeColor="text1"/>
          <w:sz w:val="24"/>
          <w:szCs w:val="24"/>
          <w14:textFill>
            <w14:solidFill>
              <w14:schemeClr w14:val="tx1"/>
            </w14:solidFill>
          </w14:textFill>
        </w:rPr>
        <w:t>未能按合同</w:t>
      </w:r>
      <w:r>
        <w:rPr>
          <w:rFonts w:hint="eastAsia" w:ascii="宋体" w:hAnsi="宋体" w:eastAsia="宋体" w:cs="Times New Roman"/>
          <w:color w:val="000000" w:themeColor="text1"/>
          <w:sz w:val="24"/>
          <w:szCs w:val="24"/>
          <w14:textFill>
            <w14:solidFill>
              <w14:schemeClr w14:val="tx1"/>
            </w14:solidFill>
          </w14:textFill>
        </w:rPr>
        <w:t>约</w:t>
      </w:r>
      <w:r>
        <w:rPr>
          <w:rFonts w:ascii="宋体" w:hAnsi="宋体" w:eastAsia="宋体" w:cs="Times New Roman"/>
          <w:color w:val="000000" w:themeColor="text1"/>
          <w:sz w:val="24"/>
          <w:szCs w:val="24"/>
          <w14:textFill>
            <w14:solidFill>
              <w14:schemeClr w14:val="tx1"/>
            </w14:solidFill>
          </w14:textFill>
        </w:rPr>
        <w:t>定全面履行义务，那么甲方有权从履约保证金中取得补偿或赔偿</w:t>
      </w:r>
      <w:r>
        <w:rPr>
          <w:rFonts w:hint="eastAsia" w:ascii="宋体" w:hAnsi="宋体" w:eastAsia="宋体" w:cs="Times New Roman"/>
          <w:color w:val="000000" w:themeColor="text1"/>
          <w:sz w:val="24"/>
          <w:szCs w:val="24"/>
          <w14:textFill>
            <w14:solidFill>
              <w14:schemeClr w14:val="tx1"/>
            </w14:solidFill>
          </w14:textFill>
        </w:rPr>
        <w:t>，同时不影响甲方要求乙方承担合同约定的超过履约保证金的违约责任的权利。</w:t>
      </w:r>
    </w:p>
    <w:bookmarkEnd w:id="199"/>
    <w:p w14:paraId="3AFE9D1B">
      <w:pPr>
        <w:spacing w:line="360" w:lineRule="auto"/>
        <w:ind w:firstLine="437"/>
        <w:outlineLvl w:val="2"/>
        <w:rPr>
          <w:rFonts w:hint="eastAsia" w:ascii="宋体" w:hAnsi="宋体" w:eastAsia="宋体" w:cs="Times New Roman"/>
          <w:b/>
          <w:color w:val="000000" w:themeColor="text1"/>
          <w:sz w:val="24"/>
          <w:szCs w:val="24"/>
          <w14:textFill>
            <w14:solidFill>
              <w14:schemeClr w14:val="tx1"/>
            </w14:solidFill>
          </w14:textFill>
        </w:rPr>
      </w:pPr>
      <w:bookmarkStart w:id="200" w:name="_Toc14001"/>
      <w:bookmarkStart w:id="201" w:name="_Toc19890"/>
      <w:bookmarkStart w:id="202" w:name="_Toc6885"/>
      <w:r>
        <w:rPr>
          <w:rFonts w:hint="eastAsia" w:ascii="宋体" w:hAnsi="宋体" w:eastAsia="宋体" w:cs="Times New Roman"/>
          <w:b/>
          <w:bCs/>
          <w:color w:val="000000" w:themeColor="text1"/>
          <w:sz w:val="24"/>
          <w:szCs w:val="24"/>
          <w:lang w:val="zh-CN"/>
          <w14:textFill>
            <w14:solidFill>
              <w14:schemeClr w14:val="tx1"/>
            </w14:solidFill>
          </w14:textFill>
        </w:rPr>
        <w:t>2.</w:t>
      </w:r>
      <w:r>
        <w:rPr>
          <w:rFonts w:ascii="宋体" w:hAnsi="宋体" w:eastAsia="宋体" w:cs="Times New Roman"/>
          <w:b/>
          <w:bCs/>
          <w:color w:val="000000" w:themeColor="text1"/>
          <w:sz w:val="24"/>
          <w:szCs w:val="24"/>
          <w:lang w:val="zh-CN"/>
          <w14:textFill>
            <w14:solidFill>
              <w14:schemeClr w14:val="tx1"/>
            </w14:solidFill>
          </w14:textFill>
        </w:rPr>
        <w:t>18</w:t>
      </w:r>
      <w:r>
        <w:rPr>
          <w:rFonts w:hint="eastAsia" w:ascii="宋体" w:hAnsi="宋体" w:eastAsia="宋体" w:cs="Times New Roman"/>
          <w:b/>
          <w:bCs/>
          <w:color w:val="000000" w:themeColor="text1"/>
          <w:sz w:val="24"/>
          <w:szCs w:val="24"/>
          <w:lang w:val="zh-CN"/>
          <w14:textFill>
            <w14:solidFill>
              <w14:schemeClr w14:val="tx1"/>
            </w14:solidFill>
          </w14:textFill>
        </w:rPr>
        <w:t xml:space="preserve"> 合同份数</w:t>
      </w:r>
      <w:bookmarkEnd w:id="200"/>
      <w:bookmarkEnd w:id="201"/>
      <w:bookmarkEnd w:id="202"/>
    </w:p>
    <w:p w14:paraId="54DDD7B8">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合同份数按</w:t>
      </w:r>
      <w:r>
        <w:rPr>
          <w:rFonts w:ascii="宋体" w:hAnsi="宋体" w:eastAsia="宋体" w:cs="Times New Roman"/>
          <w:b/>
          <w:i/>
          <w:color w:val="000000" w:themeColor="text1"/>
          <w:sz w:val="24"/>
          <w:szCs w:val="24"/>
          <w:u w:val="single"/>
          <w14:textFill>
            <w14:solidFill>
              <w14:schemeClr w14:val="tx1"/>
            </w14:solidFill>
          </w14:textFill>
        </w:rPr>
        <w:t>合同专用条款</w:t>
      </w:r>
      <w:r>
        <w:rPr>
          <w:rFonts w:ascii="宋体" w:hAnsi="宋体" w:eastAsia="宋体" w:cs="Times New Roman"/>
          <w:color w:val="000000" w:themeColor="text1"/>
          <w:sz w:val="24"/>
          <w:szCs w:val="24"/>
          <w14:textFill>
            <w14:solidFill>
              <w14:schemeClr w14:val="tx1"/>
            </w14:solidFill>
          </w14:textFill>
        </w:rPr>
        <w:t>规定</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每份均具有同等法律效力</w:t>
      </w:r>
      <w:r>
        <w:rPr>
          <w:rFonts w:hint="eastAsia" w:ascii="宋体" w:hAnsi="宋体" w:eastAsia="宋体" w:cs="Times New Roman"/>
          <w:color w:val="000000" w:themeColor="text1"/>
          <w:sz w:val="24"/>
          <w:szCs w:val="24"/>
          <w14:textFill>
            <w14:solidFill>
              <w14:schemeClr w14:val="tx1"/>
            </w14:solidFill>
          </w14:textFill>
        </w:rPr>
        <w:t>。</w:t>
      </w:r>
    </w:p>
    <w:p w14:paraId="5DA98F8C">
      <w:pPr>
        <w:spacing w:line="360" w:lineRule="auto"/>
        <w:jc w:val="center"/>
        <w:outlineLvl w:val="1"/>
        <w:rPr>
          <w:rFonts w:hint="eastAsia" w:ascii="宋体" w:hAnsi="宋体" w:eastAsia="宋体"/>
          <w:b/>
          <w:color w:val="000000" w:themeColor="text1"/>
          <w:sz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br w:type="page"/>
      </w:r>
      <w:bookmarkStart w:id="203" w:name="_Toc24967"/>
      <w:bookmarkStart w:id="204" w:name="_Toc3736"/>
      <w:r>
        <w:rPr>
          <w:rFonts w:hint="eastAsia" w:ascii="宋体" w:hAnsi="宋体" w:eastAsia="宋体"/>
          <w:b/>
          <w:color w:val="000000" w:themeColor="text1"/>
          <w:sz w:val="24"/>
          <w14:textFill>
            <w14:solidFill>
              <w14:schemeClr w14:val="tx1"/>
            </w14:solidFill>
          </w14:textFill>
        </w:rPr>
        <w:t>第三部分合同专用条款</w:t>
      </w:r>
      <w:bookmarkEnd w:id="203"/>
      <w:bookmarkEnd w:id="204"/>
    </w:p>
    <w:p w14:paraId="4CF4E8AB">
      <w:pPr>
        <w:spacing w:line="360" w:lineRule="auto"/>
        <w:ind w:firstLine="435"/>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本部分</w:t>
      </w:r>
      <w:r>
        <w:rPr>
          <w:rFonts w:ascii="宋体" w:hAnsi="宋体" w:eastAsia="宋体" w:cs="Times New Roman"/>
          <w:color w:val="000000" w:themeColor="text1"/>
          <w:sz w:val="24"/>
          <w:szCs w:val="24"/>
          <w14:textFill>
            <w14:solidFill>
              <w14:schemeClr w14:val="tx1"/>
            </w14:solidFill>
          </w14:textFill>
        </w:rPr>
        <w:t>是对</w:t>
      </w:r>
      <w:r>
        <w:rPr>
          <w:rFonts w:hint="eastAsia" w:ascii="宋体" w:hAnsi="宋体" w:eastAsia="宋体" w:cs="Times New Roman"/>
          <w:color w:val="000000" w:themeColor="text1"/>
          <w:sz w:val="24"/>
          <w:szCs w:val="24"/>
          <w14:textFill>
            <w14:solidFill>
              <w14:schemeClr w14:val="tx1"/>
            </w14:solidFill>
          </w14:textFill>
        </w:rPr>
        <w:t>前两</w:t>
      </w:r>
      <w:r>
        <w:rPr>
          <w:rFonts w:ascii="宋体" w:hAnsi="宋体" w:eastAsia="宋体" w:cs="Times New Roman"/>
          <w:color w:val="000000" w:themeColor="text1"/>
          <w:sz w:val="24"/>
          <w:szCs w:val="24"/>
          <w14:textFill>
            <w14:solidFill>
              <w14:schemeClr w14:val="tx1"/>
            </w14:solidFill>
          </w14:textFill>
        </w:rPr>
        <w:t>部分的补充和修改</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如果</w:t>
      </w:r>
      <w:r>
        <w:rPr>
          <w:rFonts w:hint="eastAsia" w:ascii="宋体" w:hAnsi="宋体" w:eastAsia="宋体" w:cs="Times New Roman"/>
          <w:color w:val="000000" w:themeColor="text1"/>
          <w:sz w:val="24"/>
          <w:szCs w:val="24"/>
          <w14:textFill>
            <w14:solidFill>
              <w14:schemeClr w14:val="tx1"/>
            </w14:solidFill>
          </w14:textFill>
        </w:rPr>
        <w:t>前两</w:t>
      </w:r>
      <w:r>
        <w:rPr>
          <w:rFonts w:ascii="宋体" w:hAnsi="宋体" w:eastAsia="宋体" w:cs="Times New Roman"/>
          <w:color w:val="000000" w:themeColor="text1"/>
          <w:sz w:val="24"/>
          <w:szCs w:val="24"/>
          <w14:textFill>
            <w14:solidFill>
              <w14:schemeClr w14:val="tx1"/>
            </w14:solidFill>
          </w14:textFill>
        </w:rPr>
        <w:t>部分和本部分的约定不一致</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应以本部分的约定为准</w:t>
      </w:r>
      <w:r>
        <w:rPr>
          <w:rFonts w:hint="eastAsia" w:ascii="宋体" w:hAnsi="宋体" w:eastAsia="宋体" w:cs="Times New Roman"/>
          <w:color w:val="000000" w:themeColor="text1"/>
          <w:sz w:val="24"/>
          <w:szCs w:val="24"/>
          <w14:textFill>
            <w14:solidFill>
              <w14:schemeClr w14:val="tx1"/>
            </w14:solidFill>
          </w14:textFill>
        </w:rPr>
        <w:t>。</w:t>
      </w:r>
      <w:r>
        <w:rPr>
          <w:rFonts w:ascii="宋体" w:hAnsi="宋体" w:eastAsia="宋体" w:cs="Times New Roman"/>
          <w:color w:val="000000" w:themeColor="text1"/>
          <w:sz w:val="24"/>
          <w:szCs w:val="24"/>
          <w14:textFill>
            <w14:solidFill>
              <w14:schemeClr w14:val="tx1"/>
            </w14:solidFill>
          </w14:textFill>
        </w:rPr>
        <w:t>本部分的条款号应与</w:t>
      </w:r>
      <w:r>
        <w:rPr>
          <w:rFonts w:hint="eastAsia" w:ascii="宋体" w:hAnsi="宋体" w:eastAsia="宋体" w:cs="Times New Roman"/>
          <w:color w:val="000000" w:themeColor="text1"/>
          <w:sz w:val="24"/>
          <w:szCs w:val="24"/>
          <w14:textFill>
            <w14:solidFill>
              <w14:schemeClr w14:val="tx1"/>
            </w14:solidFill>
          </w14:textFill>
        </w:rPr>
        <w:t>前两部分</w:t>
      </w:r>
      <w:r>
        <w:rPr>
          <w:rFonts w:ascii="宋体" w:hAnsi="宋体" w:eastAsia="宋体" w:cs="Times New Roman"/>
          <w:color w:val="000000" w:themeColor="text1"/>
          <w:sz w:val="24"/>
          <w:szCs w:val="24"/>
          <w14:textFill>
            <w14:solidFill>
              <w14:schemeClr w14:val="tx1"/>
            </w14:solidFill>
          </w14:textFill>
        </w:rPr>
        <w:t>的条款号保持对应</w:t>
      </w:r>
      <w:r>
        <w:rPr>
          <w:rFonts w:hint="eastAsia" w:ascii="宋体" w:hAnsi="宋体" w:eastAsia="宋体" w:cs="Times New Roman"/>
          <w:color w:val="000000" w:themeColor="text1"/>
          <w:sz w:val="24"/>
          <w:szCs w:val="24"/>
          <w14:textFill>
            <w14:solidFill>
              <w14:schemeClr w14:val="tx1"/>
            </w14:solidFill>
          </w14:textFill>
        </w:rPr>
        <w:t>；与前两部分</w:t>
      </w:r>
      <w:r>
        <w:rPr>
          <w:rFonts w:ascii="宋体" w:hAnsi="宋体" w:eastAsia="宋体" w:cs="Times New Roman"/>
          <w:color w:val="000000" w:themeColor="text1"/>
          <w:sz w:val="24"/>
          <w:szCs w:val="24"/>
          <w14:textFill>
            <w14:solidFill>
              <w14:schemeClr w14:val="tx1"/>
            </w14:solidFill>
          </w14:textFill>
        </w:rPr>
        <w:t>无对应关系的内容可另行编制条款号</w:t>
      </w:r>
      <w:r>
        <w:rPr>
          <w:rFonts w:hint="eastAsia" w:ascii="宋体" w:hAnsi="宋体" w:eastAsia="宋体" w:cs="Times New Roman"/>
          <w:color w:val="000000" w:themeColor="text1"/>
          <w:sz w:val="24"/>
          <w:szCs w:val="24"/>
          <w14:textFill>
            <w14:solidFill>
              <w14:schemeClr w14:val="tx1"/>
            </w14:solidFill>
          </w14:textFill>
        </w:rPr>
        <w:t>。</w:t>
      </w:r>
    </w:p>
    <w:tbl>
      <w:tblPr>
        <w:tblStyle w:val="26"/>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3AABD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6A8EB6CB">
            <w:pPr>
              <w:jc w:val="center"/>
              <w:rPr>
                <w:rFonts w:hint="eastAsia"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条款号</w:t>
            </w:r>
          </w:p>
        </w:tc>
        <w:tc>
          <w:tcPr>
            <w:tcW w:w="7568" w:type="dxa"/>
            <w:vAlign w:val="center"/>
          </w:tcPr>
          <w:p w14:paraId="00077F50">
            <w:pPr>
              <w:jc w:val="center"/>
              <w:rPr>
                <w:rFonts w:hint="eastAsia" w:ascii="宋体" w:hAnsi="宋体" w:eastAsia="宋体" w:cs="Times New Roman"/>
                <w:b/>
                <w:color w:val="000000" w:themeColor="text1"/>
                <w:sz w:val="24"/>
                <w:szCs w:val="24"/>
                <w14:textFill>
                  <w14:solidFill>
                    <w14:schemeClr w14:val="tx1"/>
                  </w14:solidFill>
                </w14:textFill>
              </w:rPr>
            </w:pPr>
            <w:r>
              <w:rPr>
                <w:rFonts w:ascii="宋体" w:hAnsi="宋体" w:eastAsia="宋体" w:cs="Times New Roman"/>
                <w:b/>
                <w:color w:val="000000" w:themeColor="text1"/>
                <w:sz w:val="24"/>
                <w:szCs w:val="24"/>
                <w14:textFill>
                  <w14:solidFill>
                    <w14:schemeClr w14:val="tx1"/>
                  </w14:solidFill>
                </w14:textFill>
              </w:rPr>
              <w:t>约定内容</w:t>
            </w:r>
          </w:p>
        </w:tc>
      </w:tr>
      <w:tr w14:paraId="03B06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CD68731">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7D0D5630">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148E1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1254A6F">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2EA53FD2">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0C045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A20F822">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4DDC004D">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44C34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E5F20C8">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42795BCB">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618C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320E0B9">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6F59C2A4">
            <w:pPr>
              <w:spacing w:line="560" w:lineRule="exact"/>
              <w:rPr>
                <w:rFonts w:hint="eastAsia" w:ascii="宋体" w:hAnsi="宋体" w:eastAsia="宋体" w:cs="Times New Roman"/>
                <w:color w:val="000000" w:themeColor="text1"/>
                <w:sz w:val="24"/>
                <w:szCs w:val="24"/>
                <w:u w:val="single"/>
                <w14:textFill>
                  <w14:solidFill>
                    <w14:schemeClr w14:val="tx1"/>
                  </w14:solidFill>
                </w14:textFill>
              </w:rPr>
            </w:pPr>
          </w:p>
        </w:tc>
      </w:tr>
      <w:tr w14:paraId="072E1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782907ED">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5921F7D9">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4D5C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0E3FB14C">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3C81746C">
            <w:pPr>
              <w:spacing w:line="560" w:lineRule="exact"/>
              <w:rPr>
                <w:rFonts w:hint="eastAsia" w:ascii="宋体" w:hAnsi="宋体" w:eastAsia="宋体" w:cs="Times New Roman"/>
                <w:color w:val="000000" w:themeColor="text1"/>
                <w:sz w:val="24"/>
                <w:szCs w:val="24"/>
                <w:u w:val="single"/>
                <w14:textFill>
                  <w14:solidFill>
                    <w14:schemeClr w14:val="tx1"/>
                  </w14:solidFill>
                </w14:textFill>
              </w:rPr>
            </w:pPr>
          </w:p>
        </w:tc>
      </w:tr>
      <w:tr w14:paraId="57F3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0B08C4F">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7003AC3B">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290FD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2AAEBF0D">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0CE42FF1">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50E64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FEB4663">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vAlign w:val="center"/>
          </w:tcPr>
          <w:p w14:paraId="5FF83A6D">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22A3E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2D690BDA">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31F86E15">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r w14:paraId="30E13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48EAAFB">
            <w:pPr>
              <w:spacing w:line="560" w:lineRule="exact"/>
              <w:rPr>
                <w:rFonts w:hint="eastAsia" w:ascii="宋体" w:hAnsi="宋体" w:eastAsia="宋体" w:cs="Times New Roman"/>
                <w:color w:val="000000" w:themeColor="text1"/>
                <w:sz w:val="24"/>
                <w:szCs w:val="24"/>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70420C5D">
            <w:pPr>
              <w:spacing w:line="560" w:lineRule="exact"/>
              <w:rPr>
                <w:rFonts w:hint="eastAsia" w:ascii="宋体" w:hAnsi="宋体" w:eastAsia="宋体" w:cs="Times New Roman"/>
                <w:color w:val="000000" w:themeColor="text1"/>
                <w:sz w:val="24"/>
                <w:szCs w:val="24"/>
                <w14:textFill>
                  <w14:solidFill>
                    <w14:schemeClr w14:val="tx1"/>
                  </w14:solidFill>
                </w14:textFill>
              </w:rPr>
            </w:pPr>
          </w:p>
        </w:tc>
      </w:tr>
    </w:tbl>
    <w:p w14:paraId="4B7839E6">
      <w:pPr>
        <w:spacing w:line="360" w:lineRule="auto"/>
        <w:rPr>
          <w:rFonts w:hint="eastAsia" w:ascii="宋体" w:hAnsi="宋体" w:eastAsia="宋体"/>
          <w:color w:val="000000" w:themeColor="text1"/>
          <w:sz w:val="24"/>
          <w14:textFill>
            <w14:solidFill>
              <w14:schemeClr w14:val="tx1"/>
            </w14:solidFill>
          </w14:textFill>
        </w:rPr>
      </w:pPr>
    </w:p>
    <w:p w14:paraId="58CCD811">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4589F46B">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58728A75">
      <w:pPr>
        <w:spacing w:line="360" w:lineRule="auto"/>
        <w:jc w:val="center"/>
        <w:outlineLvl w:val="0"/>
        <w:rPr>
          <w:rFonts w:hint="eastAsia" w:asciiTheme="minorEastAsia" w:hAnsiTheme="minorEastAsia" w:eastAsiaTheme="minorEastAsia"/>
          <w:b/>
          <w:color w:val="000000" w:themeColor="text1"/>
          <w:sz w:val="28"/>
          <w14:textFill>
            <w14:solidFill>
              <w14:schemeClr w14:val="tx1"/>
            </w14:solidFill>
          </w14:textFill>
        </w:rPr>
      </w:pPr>
    </w:p>
    <w:p w14:paraId="2CE3A714">
      <w:pPr>
        <w:spacing w:line="360" w:lineRule="auto"/>
        <w:jc w:val="center"/>
        <w:outlineLvl w:val="0"/>
        <w:rPr>
          <w:rFonts w:hint="eastAsia" w:asciiTheme="minorEastAsia" w:hAnsiTheme="minorEastAsia" w:eastAsiaTheme="minorEastAsia"/>
          <w:b/>
          <w:sz w:val="28"/>
          <w:highlight w:val="none"/>
        </w:rPr>
      </w:pPr>
    </w:p>
    <w:p w14:paraId="2AE6A615">
      <w:pPr>
        <w:spacing w:line="360" w:lineRule="auto"/>
        <w:jc w:val="center"/>
        <w:outlineLvl w:val="0"/>
        <w:rPr>
          <w:rFonts w:hint="eastAsia" w:asciiTheme="minorEastAsia" w:hAnsiTheme="minorEastAsia" w:eastAsiaTheme="minorEastAsia"/>
          <w:b/>
          <w:sz w:val="28"/>
          <w:highlight w:val="none"/>
        </w:rPr>
      </w:pPr>
    </w:p>
    <w:p w14:paraId="6D7E3723">
      <w:pPr>
        <w:spacing w:line="360" w:lineRule="auto"/>
        <w:jc w:val="center"/>
        <w:outlineLvl w:val="0"/>
        <w:rPr>
          <w:rFonts w:hint="eastAsia" w:asciiTheme="minorEastAsia" w:hAnsiTheme="minorEastAsia" w:eastAsiaTheme="minorEastAsia"/>
          <w:b/>
          <w:sz w:val="28"/>
          <w:highlight w:val="none"/>
        </w:rPr>
      </w:pPr>
    </w:p>
    <w:p w14:paraId="1E162CCF">
      <w:pPr>
        <w:spacing w:line="360" w:lineRule="auto"/>
        <w:jc w:val="center"/>
        <w:outlineLvl w:val="0"/>
        <w:rPr>
          <w:rFonts w:hint="eastAsia" w:asciiTheme="minorEastAsia" w:hAnsiTheme="minorEastAsia" w:eastAsiaTheme="minorEastAsia"/>
          <w:b/>
          <w:sz w:val="28"/>
          <w:highlight w:val="none"/>
        </w:rPr>
      </w:pPr>
    </w:p>
    <w:p w14:paraId="53C1B4AD">
      <w:pPr>
        <w:spacing w:line="360" w:lineRule="auto"/>
        <w:jc w:val="center"/>
        <w:outlineLvl w:val="0"/>
        <w:rPr>
          <w:rFonts w:hint="eastAsia" w:asciiTheme="minorEastAsia" w:hAnsiTheme="minorEastAsia" w:eastAsiaTheme="minorEastAsia"/>
          <w:b/>
          <w:sz w:val="28"/>
          <w:highlight w:val="none"/>
        </w:rPr>
      </w:pPr>
    </w:p>
    <w:p w14:paraId="493D2285">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第六章  投标文件格式</w:t>
      </w:r>
      <w:bookmarkEnd w:id="58"/>
    </w:p>
    <w:p w14:paraId="496221B5">
      <w:pPr>
        <w:spacing w:line="900" w:lineRule="exact"/>
        <w:jc w:val="center"/>
        <w:rPr>
          <w:rFonts w:hint="eastAsia" w:asciiTheme="minorEastAsia" w:hAnsiTheme="minorEastAsia" w:eastAsiaTheme="minorEastAsia"/>
          <w:b/>
          <w:sz w:val="72"/>
          <w:highlight w:val="none"/>
        </w:rPr>
      </w:pPr>
    </w:p>
    <w:p w14:paraId="154A6AF0">
      <w:pPr>
        <w:rPr>
          <w:rFonts w:hint="eastAsia" w:eastAsia="黑体"/>
          <w:sz w:val="20"/>
          <w:highlight w:val="none"/>
        </w:rPr>
      </w:pPr>
      <w:bookmarkStart w:id="205" w:name="_Toc28960"/>
      <w:bookmarkStart w:id="206" w:name="_Toc5555"/>
    </w:p>
    <w:p w14:paraId="62F5452A">
      <w:pPr>
        <w:spacing w:line="900" w:lineRule="exact"/>
        <w:jc w:val="center"/>
        <w:outlineLvl w:val="1"/>
        <w:rPr>
          <w:rFonts w:hint="eastAsia" w:asciiTheme="minorEastAsia" w:hAnsiTheme="minorEastAsia" w:eastAsiaTheme="minorEastAsia"/>
          <w:b/>
          <w:sz w:val="72"/>
          <w:highlight w:val="none"/>
        </w:rPr>
      </w:pPr>
      <w:bookmarkStart w:id="207" w:name="_Toc651"/>
      <w:r>
        <w:rPr>
          <w:rFonts w:hint="eastAsia" w:asciiTheme="minorEastAsia" w:hAnsiTheme="minorEastAsia" w:eastAsiaTheme="minorEastAsia"/>
          <w:b/>
          <w:sz w:val="72"/>
          <w:highlight w:val="none"/>
        </w:rPr>
        <w:t>投</w:t>
      </w:r>
      <w:bookmarkEnd w:id="207"/>
    </w:p>
    <w:p w14:paraId="766B3D23">
      <w:pPr>
        <w:spacing w:line="900" w:lineRule="exact"/>
        <w:jc w:val="center"/>
        <w:rPr>
          <w:rFonts w:hint="eastAsia" w:asciiTheme="minorEastAsia" w:hAnsiTheme="minorEastAsia" w:eastAsiaTheme="minorEastAsia"/>
          <w:b/>
          <w:sz w:val="72"/>
          <w:highlight w:val="none"/>
        </w:rPr>
      </w:pPr>
    </w:p>
    <w:p w14:paraId="0B15629A">
      <w:pPr>
        <w:spacing w:line="900" w:lineRule="exact"/>
        <w:jc w:val="center"/>
        <w:outlineLvl w:val="1"/>
        <w:rPr>
          <w:rFonts w:hint="eastAsia" w:asciiTheme="minorEastAsia" w:hAnsiTheme="minorEastAsia" w:eastAsiaTheme="minorEastAsia"/>
          <w:b/>
          <w:sz w:val="72"/>
          <w:highlight w:val="none"/>
        </w:rPr>
      </w:pPr>
      <w:bookmarkStart w:id="208" w:name="_Toc6148"/>
      <w:r>
        <w:rPr>
          <w:rFonts w:hint="eastAsia" w:asciiTheme="minorEastAsia" w:hAnsiTheme="minorEastAsia" w:eastAsiaTheme="minorEastAsia"/>
          <w:b/>
          <w:sz w:val="72"/>
          <w:highlight w:val="none"/>
        </w:rPr>
        <w:t>标</w:t>
      </w:r>
      <w:bookmarkEnd w:id="208"/>
    </w:p>
    <w:p w14:paraId="4E745D39">
      <w:pPr>
        <w:spacing w:line="900" w:lineRule="exact"/>
        <w:jc w:val="center"/>
        <w:rPr>
          <w:rFonts w:hint="eastAsia" w:asciiTheme="minorEastAsia" w:hAnsiTheme="minorEastAsia" w:eastAsiaTheme="minorEastAsia"/>
          <w:b/>
          <w:sz w:val="72"/>
          <w:highlight w:val="none"/>
        </w:rPr>
      </w:pPr>
    </w:p>
    <w:p w14:paraId="61294526">
      <w:pPr>
        <w:spacing w:line="900" w:lineRule="exact"/>
        <w:jc w:val="center"/>
        <w:outlineLvl w:val="1"/>
        <w:rPr>
          <w:rFonts w:hint="eastAsia" w:asciiTheme="minorEastAsia" w:hAnsiTheme="minorEastAsia" w:eastAsiaTheme="minorEastAsia"/>
          <w:b/>
          <w:sz w:val="72"/>
          <w:highlight w:val="none"/>
        </w:rPr>
      </w:pPr>
      <w:bookmarkStart w:id="209" w:name="_Toc1338"/>
      <w:r>
        <w:rPr>
          <w:rFonts w:hint="eastAsia" w:asciiTheme="minorEastAsia" w:hAnsiTheme="minorEastAsia" w:eastAsiaTheme="minorEastAsia"/>
          <w:b/>
          <w:sz w:val="72"/>
          <w:highlight w:val="none"/>
        </w:rPr>
        <w:t>文</w:t>
      </w:r>
      <w:bookmarkEnd w:id="209"/>
    </w:p>
    <w:p w14:paraId="074E9CCC">
      <w:pPr>
        <w:spacing w:line="900" w:lineRule="exact"/>
        <w:jc w:val="center"/>
        <w:rPr>
          <w:rFonts w:hint="eastAsia" w:asciiTheme="minorEastAsia" w:hAnsiTheme="minorEastAsia" w:eastAsiaTheme="minorEastAsia"/>
          <w:b/>
          <w:sz w:val="72"/>
          <w:highlight w:val="none"/>
        </w:rPr>
      </w:pPr>
    </w:p>
    <w:p w14:paraId="6DE1F75A">
      <w:pPr>
        <w:jc w:val="center"/>
        <w:outlineLvl w:val="1"/>
        <w:rPr>
          <w:rFonts w:hint="eastAsia" w:asciiTheme="minorEastAsia" w:hAnsiTheme="minorEastAsia" w:eastAsiaTheme="minorEastAsia"/>
          <w:b/>
          <w:sz w:val="72"/>
          <w:highlight w:val="none"/>
        </w:rPr>
      </w:pPr>
      <w:bookmarkStart w:id="210" w:name="_Toc10796"/>
      <w:r>
        <w:rPr>
          <w:rFonts w:hint="eastAsia" w:asciiTheme="minorEastAsia" w:hAnsiTheme="minorEastAsia" w:eastAsiaTheme="minorEastAsia"/>
          <w:b/>
          <w:sz w:val="72"/>
          <w:highlight w:val="none"/>
        </w:rPr>
        <w:t>件</w:t>
      </w:r>
      <w:bookmarkEnd w:id="210"/>
    </w:p>
    <w:p w14:paraId="10DB2F36">
      <w:pPr>
        <w:rPr>
          <w:rFonts w:hint="eastAsia" w:ascii="宋体" w:hAnsi="宋体" w:eastAsia="宋体" w:cs="宋体"/>
          <w:sz w:val="28"/>
          <w:szCs w:val="28"/>
          <w:highlight w:val="none"/>
        </w:rPr>
      </w:pPr>
    </w:p>
    <w:p w14:paraId="43AED34E">
      <w:pPr>
        <w:rPr>
          <w:rFonts w:hint="eastAsia" w:ascii="宋体" w:hAnsi="宋体" w:eastAsia="宋体" w:cs="宋体"/>
          <w:sz w:val="28"/>
          <w:szCs w:val="28"/>
          <w:highlight w:val="none"/>
        </w:rPr>
      </w:pPr>
    </w:p>
    <w:p w14:paraId="24ED2304">
      <w:pPr>
        <w:rPr>
          <w:rFonts w:hint="eastAsia" w:ascii="宋体" w:hAnsi="宋体" w:eastAsia="宋体" w:cs="宋体"/>
          <w:sz w:val="28"/>
          <w:szCs w:val="28"/>
          <w:highlight w:val="none"/>
        </w:rPr>
      </w:pPr>
    </w:p>
    <w:p w14:paraId="38651576">
      <w:pPr>
        <w:tabs>
          <w:tab w:val="left" w:pos="2410"/>
        </w:tabs>
        <w:autoSpaceDE w:val="0"/>
        <w:autoSpaceDN w:val="0"/>
        <w:adjustRightInd w:val="0"/>
        <w:snapToGrid w:val="0"/>
        <w:spacing w:line="360" w:lineRule="auto"/>
        <w:ind w:firstLine="643" w:firstLineChars="200"/>
        <w:rPr>
          <w:rFonts w:hint="eastAsia"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18F534E0">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11FA2329">
      <w:pPr>
        <w:tabs>
          <w:tab w:val="left" w:pos="2410"/>
        </w:tabs>
        <w:autoSpaceDE w:val="0"/>
        <w:autoSpaceDN w:val="0"/>
        <w:adjustRightInd w:val="0"/>
        <w:snapToGrid w:val="0"/>
        <w:spacing w:line="360" w:lineRule="auto"/>
        <w:ind w:firstLine="643" w:firstLineChars="200"/>
        <w:rPr>
          <w:rFonts w:hint="eastAsia"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投 标 人：</w:t>
      </w:r>
      <w:r>
        <w:rPr>
          <w:rFonts w:hint="eastAsia" w:asciiTheme="minorEastAsia" w:hAnsiTheme="minorEastAsia" w:eastAsiaTheme="minorEastAsia"/>
          <w:b/>
          <w:sz w:val="32"/>
          <w:highlight w:val="none"/>
          <w:u w:val="single"/>
        </w:rPr>
        <w:t xml:space="preserve">                  </w:t>
      </w:r>
    </w:p>
    <w:p w14:paraId="44238EB2">
      <w:pPr>
        <w:spacing w:line="480" w:lineRule="auto"/>
        <w:ind w:firstLine="560" w:firstLineChars="200"/>
        <w:rPr>
          <w:rFonts w:hint="eastAsia" w:ascii="宋体" w:hAnsi="宋体" w:eastAsia="宋体" w:cs="宋体"/>
          <w:sz w:val="28"/>
          <w:szCs w:val="28"/>
          <w:highlight w:val="none"/>
        </w:rPr>
      </w:pPr>
    </w:p>
    <w:p w14:paraId="23262259">
      <w:pPr>
        <w:spacing w:line="48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09008874">
      <w:pPr>
        <w:spacing w:line="400" w:lineRule="exact"/>
        <w:ind w:firstLine="562" w:firstLineChars="200"/>
        <w:rPr>
          <w:rFonts w:hint="eastAsia" w:ascii="宋体" w:hAnsi="宋体" w:eastAsia="宋体" w:cs="宋体"/>
          <w:b/>
          <w:sz w:val="28"/>
          <w:szCs w:val="28"/>
          <w:highlight w:val="none"/>
          <w:lang w:bidi="ar"/>
        </w:rPr>
      </w:pPr>
    </w:p>
    <w:p w14:paraId="51265696">
      <w:pPr>
        <w:spacing w:line="360" w:lineRule="auto"/>
        <w:jc w:val="center"/>
        <w:outlineLvl w:val="1"/>
        <w:rPr>
          <w:rFonts w:hint="eastAsia" w:asciiTheme="minorEastAsia" w:hAnsiTheme="minorEastAsia" w:eastAsiaTheme="minorEastAsia"/>
          <w:b/>
          <w:sz w:val="24"/>
          <w:highlight w:val="none"/>
        </w:rPr>
      </w:pPr>
    </w:p>
    <w:p w14:paraId="371241DA">
      <w:pPr>
        <w:widowControl/>
        <w:ind w:firstLine="65"/>
        <w:jc w:val="center"/>
        <w:rPr>
          <w:rFonts w:hint="eastAsia" w:ascii="宋体" w:hAnsi="宋体" w:eastAsia="宋体" w:cs="宋体"/>
          <w:b/>
          <w:color w:val="000000" w:themeColor="text1"/>
          <w:sz w:val="36"/>
          <w:szCs w:val="36"/>
          <w:lang w:bidi="ar"/>
          <w14:textFill>
            <w14:solidFill>
              <w14:schemeClr w14:val="tx1"/>
            </w14:solidFill>
          </w14:textFill>
        </w:rPr>
      </w:pPr>
    </w:p>
    <w:p w14:paraId="159D5AE0">
      <w:pPr>
        <w:widowControl/>
        <w:ind w:firstLine="65"/>
        <w:jc w:val="center"/>
        <w:rPr>
          <w:rFonts w:ascii="Times New Roman" w:hAnsi="Times New Roman" w:eastAsia="宋体" w:cs="Times New Roman"/>
          <w:b/>
          <w:color w:val="000000" w:themeColor="text1"/>
          <w:sz w:val="44"/>
          <w:szCs w:val="44"/>
          <w14:textFill>
            <w14:solidFill>
              <w14:schemeClr w14:val="tx1"/>
            </w14:solidFill>
          </w14:textFill>
        </w:rPr>
      </w:pPr>
      <w:r>
        <w:rPr>
          <w:rFonts w:hint="eastAsia" w:ascii="宋体" w:hAnsi="宋体" w:eastAsia="宋体" w:cs="宋体"/>
          <w:b/>
          <w:color w:val="000000" w:themeColor="text1"/>
          <w:sz w:val="36"/>
          <w:szCs w:val="36"/>
          <w:lang w:bidi="ar"/>
          <w14:textFill>
            <w14:solidFill>
              <w14:schemeClr w14:val="tx1"/>
            </w14:solidFill>
          </w14:textFill>
        </w:rPr>
        <w:t>目</w:t>
      </w:r>
      <w:r>
        <w:rPr>
          <w:rFonts w:hint="eastAsia" w:ascii="Times New Roman" w:hAnsi="Times New Roman" w:eastAsia="宋体" w:cs="Times New Roman"/>
          <w:b/>
          <w:color w:val="000000" w:themeColor="text1"/>
          <w:sz w:val="36"/>
          <w:szCs w:val="36"/>
          <w:lang w:bidi="ar"/>
          <w14:textFill>
            <w14:solidFill>
              <w14:schemeClr w14:val="tx1"/>
            </w14:solidFill>
          </w14:textFill>
        </w:rPr>
        <w:t xml:space="preserve">   </w:t>
      </w:r>
      <w:r>
        <w:rPr>
          <w:rFonts w:hint="eastAsia" w:ascii="宋体" w:hAnsi="宋体" w:eastAsia="宋体" w:cs="宋体"/>
          <w:b/>
          <w:color w:val="000000" w:themeColor="text1"/>
          <w:sz w:val="36"/>
          <w:szCs w:val="36"/>
          <w:lang w:bidi="ar"/>
          <w14:textFill>
            <w14:solidFill>
              <w14:schemeClr w14:val="tx1"/>
            </w14:solidFill>
          </w14:textFill>
        </w:rPr>
        <w:t>录</w:t>
      </w:r>
    </w:p>
    <w:p w14:paraId="50B4017D">
      <w:pPr>
        <w:spacing w:line="400" w:lineRule="exact"/>
        <w:ind w:firstLine="562" w:firstLineChars="200"/>
        <w:rPr>
          <w:rFonts w:ascii="Times New Roman" w:hAnsi="Times New Roman" w:eastAsia="宋体" w:cs="Times New Roman"/>
          <w:b/>
          <w:color w:val="000000" w:themeColor="text1"/>
          <w:sz w:val="28"/>
          <w:szCs w:val="28"/>
          <w14:textFill>
            <w14:solidFill>
              <w14:schemeClr w14:val="tx1"/>
            </w14:solidFill>
          </w14:textFill>
        </w:rPr>
      </w:pPr>
      <w:r>
        <w:rPr>
          <w:rFonts w:hint="eastAsia" w:ascii="Times New Roman" w:hAnsi="Times New Roman" w:eastAsia="宋体" w:cs="Times New Roman"/>
          <w:b/>
          <w:color w:val="000000" w:themeColor="text1"/>
          <w:sz w:val="28"/>
          <w:szCs w:val="28"/>
          <w:lang w:bidi="ar"/>
          <w14:textFill>
            <w14:solidFill>
              <w14:schemeClr w14:val="tx1"/>
            </w14:solidFill>
          </w14:textFill>
        </w:rPr>
        <w:t xml:space="preserve"> </w:t>
      </w:r>
    </w:p>
    <w:p w14:paraId="24AA0881">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14:textFill>
            <w14:solidFill>
              <w14:schemeClr w14:val="tx1"/>
            </w14:solidFill>
          </w14:textFill>
        </w:rPr>
        <w:t xml:space="preserve">资格声明书（格式见附件）；                                                                                                                                                                                                                                                                                                                                                                                                                                                                                                                                                                                                                                                                                                                                                                                                                                                                                                                                                                                                                                                                                                                                                                                                                                                                                                                                                                                                                                                                                                                                                                                             </w:t>
      </w:r>
    </w:p>
    <w:p w14:paraId="2A150C84">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（2）授权书（格式见附件）；</w:t>
      </w:r>
    </w:p>
    <w:p w14:paraId="048DDAA8">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（3）营业执照等证明文件；</w:t>
      </w:r>
    </w:p>
    <w:p w14:paraId="510A031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（4）其他特定资格要求；</w:t>
      </w:r>
    </w:p>
    <w:p w14:paraId="0824B18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（5）开标一览表（格式见附件）；</w:t>
      </w:r>
    </w:p>
    <w:p w14:paraId="02BBD97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（6）投标函（格式见附件）；</w:t>
      </w:r>
    </w:p>
    <w:p w14:paraId="7B929E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（7）投标报价表（格式见附件）；</w:t>
      </w:r>
    </w:p>
    <w:p w14:paraId="42D26AD2">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（8）投标响应表（格式见附件）；</w:t>
      </w:r>
    </w:p>
    <w:p w14:paraId="1D58CFA3">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（9）诚信履约承诺函（格式见附件）；</w:t>
      </w:r>
    </w:p>
    <w:p w14:paraId="73224F6B">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（10）诚信投标承诺书（格式见附件）；</w:t>
      </w:r>
    </w:p>
    <w:p w14:paraId="064DA659">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（11）招标文件中要求的提供的其他相关资料；</w:t>
      </w:r>
    </w:p>
    <w:p w14:paraId="6BF35C27">
      <w:pPr>
        <w:spacing w:line="360" w:lineRule="auto"/>
        <w:ind w:firstLine="484" w:firstLineChars="202"/>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（12）供应商认为需要提供的其他证明材料；</w:t>
      </w:r>
    </w:p>
    <w:p w14:paraId="72232A5E">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（13）其他（如有）。</w:t>
      </w:r>
    </w:p>
    <w:p w14:paraId="3B38AD4A">
      <w:pPr>
        <w:spacing w:line="360" w:lineRule="auto"/>
        <w:jc w:val="center"/>
        <w:outlineLvl w:val="1"/>
        <w:rPr>
          <w:rFonts w:hint="eastAsia" w:asciiTheme="minorEastAsia" w:hAnsiTheme="minorEastAsia" w:eastAsiaTheme="minorEastAsia"/>
          <w:b/>
          <w:sz w:val="24"/>
          <w:highlight w:val="none"/>
        </w:rPr>
      </w:pPr>
    </w:p>
    <w:p w14:paraId="096510A2">
      <w:pPr>
        <w:spacing w:line="360" w:lineRule="auto"/>
        <w:jc w:val="center"/>
        <w:outlineLvl w:val="1"/>
        <w:rPr>
          <w:rFonts w:hint="eastAsia" w:asciiTheme="minorEastAsia" w:hAnsiTheme="minorEastAsia" w:eastAsiaTheme="minorEastAsia"/>
          <w:b/>
          <w:sz w:val="24"/>
          <w:highlight w:val="none"/>
        </w:rPr>
      </w:pPr>
    </w:p>
    <w:p w14:paraId="045D9EA2">
      <w:pPr>
        <w:spacing w:line="360" w:lineRule="auto"/>
        <w:jc w:val="center"/>
        <w:outlineLvl w:val="1"/>
        <w:rPr>
          <w:rFonts w:hint="eastAsia" w:asciiTheme="minorEastAsia" w:hAnsiTheme="minorEastAsia" w:eastAsiaTheme="minorEastAsia"/>
          <w:b/>
          <w:sz w:val="24"/>
          <w:highlight w:val="none"/>
        </w:rPr>
      </w:pPr>
    </w:p>
    <w:p w14:paraId="38F9FA3B">
      <w:pPr>
        <w:spacing w:line="360" w:lineRule="auto"/>
        <w:jc w:val="center"/>
        <w:outlineLvl w:val="1"/>
        <w:rPr>
          <w:rFonts w:hint="eastAsia" w:asciiTheme="minorEastAsia" w:hAnsiTheme="minorEastAsia" w:eastAsiaTheme="minorEastAsia"/>
          <w:b/>
          <w:sz w:val="24"/>
          <w:highlight w:val="none"/>
        </w:rPr>
      </w:pPr>
    </w:p>
    <w:p w14:paraId="38488DF3">
      <w:pPr>
        <w:spacing w:line="360" w:lineRule="auto"/>
        <w:jc w:val="center"/>
        <w:outlineLvl w:val="1"/>
        <w:rPr>
          <w:rFonts w:hint="eastAsia" w:asciiTheme="minorEastAsia" w:hAnsiTheme="minorEastAsia" w:eastAsiaTheme="minorEastAsia"/>
          <w:b/>
          <w:sz w:val="24"/>
          <w:highlight w:val="none"/>
        </w:rPr>
      </w:pPr>
    </w:p>
    <w:p w14:paraId="20B7BF7B">
      <w:pPr>
        <w:spacing w:line="360" w:lineRule="auto"/>
        <w:jc w:val="center"/>
        <w:outlineLvl w:val="1"/>
        <w:rPr>
          <w:rFonts w:hint="eastAsia" w:asciiTheme="minorEastAsia" w:hAnsiTheme="minorEastAsia" w:eastAsiaTheme="minorEastAsia"/>
          <w:b/>
          <w:sz w:val="24"/>
          <w:highlight w:val="none"/>
        </w:rPr>
      </w:pPr>
    </w:p>
    <w:p w14:paraId="64C5B58F">
      <w:pPr>
        <w:spacing w:line="360" w:lineRule="auto"/>
        <w:jc w:val="center"/>
        <w:outlineLvl w:val="1"/>
        <w:rPr>
          <w:rFonts w:hint="eastAsia" w:asciiTheme="minorEastAsia" w:hAnsiTheme="minorEastAsia" w:eastAsiaTheme="minorEastAsia"/>
          <w:b/>
          <w:sz w:val="24"/>
          <w:highlight w:val="none"/>
        </w:rPr>
      </w:pPr>
    </w:p>
    <w:p w14:paraId="1184F2DF">
      <w:pPr>
        <w:spacing w:line="360" w:lineRule="auto"/>
        <w:jc w:val="center"/>
        <w:outlineLvl w:val="1"/>
        <w:rPr>
          <w:rFonts w:hint="eastAsia" w:asciiTheme="minorEastAsia" w:hAnsiTheme="minorEastAsia" w:eastAsiaTheme="minorEastAsia"/>
          <w:b/>
          <w:sz w:val="24"/>
          <w:highlight w:val="none"/>
        </w:rPr>
      </w:pPr>
    </w:p>
    <w:p w14:paraId="2D4165A2">
      <w:pPr>
        <w:spacing w:line="360" w:lineRule="auto"/>
        <w:jc w:val="center"/>
        <w:outlineLvl w:val="1"/>
        <w:rPr>
          <w:rFonts w:hint="eastAsia" w:asciiTheme="minorEastAsia" w:hAnsiTheme="minorEastAsia" w:eastAsiaTheme="minorEastAsia"/>
          <w:b/>
          <w:sz w:val="24"/>
          <w:highlight w:val="none"/>
        </w:rPr>
      </w:pPr>
    </w:p>
    <w:p w14:paraId="51DD19B5">
      <w:pPr>
        <w:spacing w:line="360" w:lineRule="auto"/>
        <w:jc w:val="center"/>
        <w:outlineLvl w:val="1"/>
        <w:rPr>
          <w:rFonts w:hint="eastAsia" w:asciiTheme="minorEastAsia" w:hAnsiTheme="minorEastAsia" w:eastAsiaTheme="minorEastAsia"/>
          <w:b/>
          <w:sz w:val="24"/>
          <w:highlight w:val="none"/>
        </w:rPr>
      </w:pPr>
    </w:p>
    <w:p w14:paraId="0EA53FEC">
      <w:pPr>
        <w:spacing w:line="360" w:lineRule="auto"/>
        <w:jc w:val="center"/>
        <w:outlineLvl w:val="1"/>
        <w:rPr>
          <w:rFonts w:hint="eastAsia" w:asciiTheme="minorEastAsia" w:hAnsiTheme="minorEastAsia" w:eastAsiaTheme="minorEastAsia"/>
          <w:b/>
          <w:sz w:val="24"/>
          <w:highlight w:val="none"/>
        </w:rPr>
      </w:pPr>
    </w:p>
    <w:p w14:paraId="3E32712A">
      <w:pPr>
        <w:spacing w:line="360" w:lineRule="auto"/>
        <w:jc w:val="center"/>
        <w:outlineLvl w:val="1"/>
        <w:rPr>
          <w:rFonts w:hint="eastAsia" w:asciiTheme="minorEastAsia" w:hAnsiTheme="minorEastAsia" w:eastAsiaTheme="minorEastAsia"/>
          <w:b/>
          <w:sz w:val="24"/>
          <w:highlight w:val="none"/>
        </w:rPr>
      </w:pPr>
    </w:p>
    <w:p w14:paraId="13FD778C">
      <w:pPr>
        <w:spacing w:line="360" w:lineRule="auto"/>
        <w:jc w:val="center"/>
        <w:outlineLvl w:val="1"/>
        <w:rPr>
          <w:rFonts w:hint="eastAsia" w:asciiTheme="minorEastAsia" w:hAnsiTheme="minorEastAsia" w:eastAsiaTheme="minorEastAsia"/>
          <w:b/>
          <w:sz w:val="24"/>
          <w:highlight w:val="none"/>
        </w:rPr>
      </w:pPr>
    </w:p>
    <w:p w14:paraId="747F6EA1">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一、投标人资格声明书 </w:t>
      </w:r>
    </w:p>
    <w:p w14:paraId="57C401EF">
      <w:pPr>
        <w:pStyle w:val="21"/>
        <w:spacing w:before="0" w:beforeAutospacing="0" w:after="0" w:afterAutospacing="0" w:line="360" w:lineRule="auto"/>
        <w:ind w:firstLine="482"/>
        <w:jc w:val="both"/>
        <w:rPr>
          <w:rFonts w:hint="eastAsia" w:ascii="宋体" w:hAnsi="宋体" w:eastAsia="宋体" w:cs="宋体"/>
          <w:b/>
          <w:kern w:val="2"/>
          <w:szCs w:val="24"/>
          <w:highlight w:val="none"/>
        </w:rPr>
      </w:pPr>
      <w:r>
        <w:rPr>
          <w:rFonts w:hint="eastAsia" w:ascii="宋体" w:hAnsi="宋体" w:eastAsia="宋体" w:cs="宋体"/>
          <w:b/>
          <w:kern w:val="2"/>
          <w:szCs w:val="24"/>
          <w:highlight w:val="none"/>
          <w:lang w:bidi="ar"/>
        </w:rPr>
        <w:t>致：</w:t>
      </w:r>
      <w:r>
        <w:rPr>
          <w:rFonts w:hint="eastAsia" w:ascii="宋体" w:hAnsi="宋体" w:eastAsia="宋体" w:cs="宋体"/>
          <w:b/>
          <w:kern w:val="2"/>
          <w:szCs w:val="24"/>
          <w:highlight w:val="none"/>
          <w:u w:val="single"/>
          <w:lang w:bidi="ar"/>
        </w:rPr>
        <w:t>采购人</w:t>
      </w:r>
    </w:p>
    <w:p w14:paraId="158B19F3">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在参与本次项目投标中，我单位承诺：</w:t>
      </w:r>
    </w:p>
    <w:p w14:paraId="146F36E1">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（一）具有良好的商业信誉和健全的财务会计制度；</w:t>
      </w:r>
    </w:p>
    <w:p w14:paraId="099900AD">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（二）具有履行合同所必需的设备和专业技术能力；</w:t>
      </w:r>
    </w:p>
    <w:p w14:paraId="4DBBA365">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（三）有依法缴纳税收和社会保障资金的良好记录；</w:t>
      </w:r>
    </w:p>
    <w:p w14:paraId="32783C86">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B6AA8F">
      <w:pPr>
        <w:widowControl/>
        <w:autoSpaceDE w:val="0"/>
        <w:spacing w:line="360" w:lineRule="auto"/>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7FBA0D88">
      <w:pPr>
        <w:widowControl/>
        <w:autoSpaceDE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D0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1FA61597">
            <w:pPr>
              <w:widowControl/>
              <w:autoSpaceDE w:val="0"/>
              <w:spacing w:before="156" w:beforeLines="50" w:after="1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bidi="ar"/>
              </w:rPr>
              <w:t>序号</w:t>
            </w:r>
          </w:p>
        </w:tc>
        <w:tc>
          <w:tcPr>
            <w:tcW w:w="2841" w:type="dxa"/>
            <w:tcBorders>
              <w:top w:val="single" w:color="auto" w:sz="4" w:space="0"/>
              <w:left w:val="nil"/>
              <w:bottom w:val="single" w:color="auto" w:sz="4" w:space="0"/>
              <w:right w:val="single" w:color="auto" w:sz="4" w:space="0"/>
            </w:tcBorders>
            <w:shd w:val="clear" w:color="auto" w:fill="auto"/>
          </w:tcPr>
          <w:p w14:paraId="41970D02">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单位名称</w:t>
            </w:r>
          </w:p>
        </w:tc>
        <w:tc>
          <w:tcPr>
            <w:tcW w:w="2841" w:type="dxa"/>
            <w:tcBorders>
              <w:top w:val="single" w:color="auto" w:sz="4" w:space="0"/>
              <w:left w:val="nil"/>
              <w:bottom w:val="single" w:color="auto" w:sz="4" w:space="0"/>
              <w:right w:val="single" w:color="auto" w:sz="4" w:space="0"/>
            </w:tcBorders>
            <w:shd w:val="clear" w:color="auto" w:fill="auto"/>
          </w:tcPr>
          <w:p w14:paraId="5ADAE6AF">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相互关系</w:t>
            </w:r>
          </w:p>
        </w:tc>
      </w:tr>
      <w:tr w14:paraId="59AC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10C6E55">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1</w:t>
            </w:r>
          </w:p>
        </w:tc>
        <w:tc>
          <w:tcPr>
            <w:tcW w:w="2841" w:type="dxa"/>
            <w:tcBorders>
              <w:top w:val="single" w:color="auto" w:sz="4" w:space="0"/>
              <w:left w:val="nil"/>
              <w:bottom w:val="single" w:color="auto" w:sz="4" w:space="0"/>
              <w:right w:val="single" w:color="auto" w:sz="4" w:space="0"/>
            </w:tcBorders>
            <w:shd w:val="clear" w:color="auto" w:fill="auto"/>
          </w:tcPr>
          <w:p w14:paraId="64F1A4B1">
            <w:pPr>
              <w:pStyle w:val="21"/>
              <w:autoSpaceDE w:val="0"/>
              <w:spacing w:before="156" w:beforeLines="50" w:beforeAutospacing="0" w:after="10" w:afterAutospacing="0"/>
              <w:jc w:val="center"/>
              <w:rPr>
                <w:rFonts w:hint="eastAsia" w:ascii="宋体" w:hAnsi="宋体" w:eastAsia="宋体" w:cs="宋体"/>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25481722">
            <w:pPr>
              <w:pStyle w:val="21"/>
              <w:autoSpaceDE w:val="0"/>
              <w:spacing w:before="156" w:beforeLines="50" w:beforeAutospacing="0" w:after="10" w:afterAutospacing="0"/>
              <w:jc w:val="center"/>
              <w:rPr>
                <w:rFonts w:hint="eastAsia" w:ascii="宋体" w:hAnsi="宋体" w:eastAsia="宋体" w:cs="宋体"/>
                <w:szCs w:val="24"/>
                <w:highlight w:val="none"/>
              </w:rPr>
            </w:pPr>
          </w:p>
        </w:tc>
      </w:tr>
      <w:tr w14:paraId="5F47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3FE0FC14">
            <w:pPr>
              <w:pStyle w:val="21"/>
              <w:autoSpaceDE w:val="0"/>
              <w:spacing w:before="156" w:beforeLines="50" w:beforeAutospacing="0" w:after="10" w:afterAutospacing="0"/>
              <w:jc w:val="center"/>
              <w:rPr>
                <w:rFonts w:hint="eastAsia" w:ascii="宋体" w:hAnsi="宋体" w:eastAsia="宋体" w:cs="宋体"/>
                <w:szCs w:val="24"/>
                <w:highlight w:val="none"/>
              </w:rPr>
            </w:pPr>
            <w:r>
              <w:rPr>
                <w:rFonts w:hint="eastAsia" w:ascii="宋体" w:hAnsi="宋体" w:eastAsia="宋体" w:cs="宋体"/>
                <w:szCs w:val="24"/>
                <w:highlight w:val="none"/>
                <w:lang w:bidi="ar"/>
              </w:rPr>
              <w:t>2</w:t>
            </w:r>
          </w:p>
        </w:tc>
        <w:tc>
          <w:tcPr>
            <w:tcW w:w="2841" w:type="dxa"/>
            <w:tcBorders>
              <w:top w:val="single" w:color="auto" w:sz="4" w:space="0"/>
              <w:left w:val="nil"/>
              <w:bottom w:val="single" w:color="auto" w:sz="4" w:space="0"/>
              <w:right w:val="single" w:color="auto" w:sz="4" w:space="0"/>
            </w:tcBorders>
            <w:shd w:val="clear" w:color="auto" w:fill="auto"/>
          </w:tcPr>
          <w:p w14:paraId="35336EFF">
            <w:pPr>
              <w:pStyle w:val="21"/>
              <w:autoSpaceDE w:val="0"/>
              <w:spacing w:before="156" w:beforeLines="50" w:beforeAutospacing="0" w:after="10" w:afterAutospacing="0"/>
              <w:jc w:val="center"/>
              <w:rPr>
                <w:rFonts w:hint="eastAsia" w:ascii="宋体" w:hAnsi="宋体" w:eastAsia="宋体" w:cs="宋体"/>
                <w:szCs w:val="24"/>
                <w:highlight w:val="none"/>
              </w:rPr>
            </w:pPr>
          </w:p>
        </w:tc>
        <w:tc>
          <w:tcPr>
            <w:tcW w:w="2841" w:type="dxa"/>
            <w:tcBorders>
              <w:top w:val="single" w:color="auto" w:sz="4" w:space="0"/>
              <w:left w:val="nil"/>
              <w:bottom w:val="single" w:color="auto" w:sz="4" w:space="0"/>
              <w:right w:val="single" w:color="auto" w:sz="4" w:space="0"/>
            </w:tcBorders>
            <w:shd w:val="clear" w:color="auto" w:fill="auto"/>
          </w:tcPr>
          <w:p w14:paraId="1135FD6A">
            <w:pPr>
              <w:pStyle w:val="21"/>
              <w:autoSpaceDE w:val="0"/>
              <w:spacing w:before="156" w:beforeLines="50" w:beforeAutospacing="0" w:after="10" w:afterAutospacing="0"/>
              <w:jc w:val="center"/>
              <w:rPr>
                <w:rFonts w:hint="eastAsia" w:ascii="宋体" w:hAnsi="宋体" w:eastAsia="宋体" w:cs="宋体"/>
                <w:szCs w:val="24"/>
                <w:highlight w:val="none"/>
              </w:rPr>
            </w:pPr>
          </w:p>
        </w:tc>
      </w:tr>
    </w:tbl>
    <w:p w14:paraId="53C5A7E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本单位对上述声明的真实性负责。如有虚假，将依法承担相应责任。</w:t>
      </w:r>
    </w:p>
    <w:p w14:paraId="60C6C372">
      <w:pPr>
        <w:spacing w:line="360" w:lineRule="auto"/>
        <w:ind w:firstLine="4800" w:firstLineChars="20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投标人 ：</w:t>
      </w:r>
      <w:r>
        <w:rPr>
          <w:rFonts w:hint="eastAsia" w:ascii="宋体" w:hAnsi="宋体" w:eastAsia="宋体" w:cs="宋体"/>
          <w:sz w:val="24"/>
          <w:szCs w:val="24"/>
          <w:highlight w:val="none"/>
          <w:u w:val="single"/>
          <w:lang w:bidi="ar"/>
        </w:rPr>
        <w:t xml:space="preserve">            </w:t>
      </w:r>
      <w:r>
        <w:rPr>
          <w:rFonts w:hint="eastAsia" w:ascii="宋体" w:hAnsi="宋体" w:eastAsia="宋体" w:cs="宋体"/>
          <w:bCs/>
          <w:sz w:val="24"/>
          <w:szCs w:val="24"/>
          <w:highlight w:val="none"/>
          <w:u w:val="single"/>
          <w:lang w:bidi="ar"/>
        </w:rPr>
        <w:t>（盖 章）</w:t>
      </w:r>
      <w:r>
        <w:rPr>
          <w:rFonts w:hint="eastAsia" w:ascii="宋体" w:hAnsi="宋体" w:eastAsia="宋体" w:cs="宋体"/>
          <w:sz w:val="24"/>
          <w:szCs w:val="24"/>
          <w:highlight w:val="none"/>
          <w:u w:val="single"/>
          <w:lang w:bidi="ar"/>
        </w:rPr>
        <w:t xml:space="preserve">          </w:t>
      </w:r>
    </w:p>
    <w:p w14:paraId="4444E2A7">
      <w:pPr>
        <w:spacing w:line="360" w:lineRule="auto"/>
        <w:ind w:firstLine="4800" w:firstLineChars="20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日   期：</w:t>
      </w:r>
      <w:r>
        <w:rPr>
          <w:rFonts w:hint="eastAsia" w:ascii="宋体" w:hAnsi="宋体" w:eastAsia="宋体" w:cs="宋体"/>
          <w:sz w:val="24"/>
          <w:szCs w:val="24"/>
          <w:highlight w:val="none"/>
          <w:u w:val="single"/>
          <w:lang w:bidi="ar"/>
        </w:rPr>
        <w:t xml:space="preserve">                    </w:t>
      </w:r>
    </w:p>
    <w:p w14:paraId="21B7EC46">
      <w:pPr>
        <w:pStyle w:val="21"/>
        <w:spacing w:before="0" w:after="120" w:afterAutospacing="0"/>
        <w:ind w:firstLine="482"/>
        <w:jc w:val="center"/>
        <w:rPr>
          <w:rFonts w:hint="eastAsia"/>
          <w:b/>
          <w:highlight w:val="none"/>
          <w:lang w:bidi="ar"/>
        </w:rPr>
      </w:pPr>
    </w:p>
    <w:p w14:paraId="27EFF779">
      <w:pPr>
        <w:pStyle w:val="21"/>
        <w:spacing w:before="0" w:after="120" w:afterAutospacing="0"/>
        <w:ind w:firstLine="482"/>
        <w:jc w:val="center"/>
        <w:rPr>
          <w:rFonts w:hint="eastAsia"/>
          <w:b/>
          <w:highlight w:val="none"/>
          <w:lang w:bidi="ar"/>
        </w:rPr>
      </w:pPr>
    </w:p>
    <w:p w14:paraId="3BF59FB8">
      <w:pPr>
        <w:pStyle w:val="21"/>
        <w:spacing w:before="0" w:after="120" w:afterAutospacing="0"/>
        <w:ind w:firstLine="482"/>
        <w:jc w:val="center"/>
        <w:rPr>
          <w:rFonts w:hint="eastAsia"/>
          <w:b/>
          <w:highlight w:val="none"/>
          <w:lang w:bidi="ar"/>
        </w:rPr>
      </w:pPr>
    </w:p>
    <w:p w14:paraId="58FD299D">
      <w:pPr>
        <w:pStyle w:val="21"/>
        <w:spacing w:before="0" w:after="120" w:afterAutospacing="0"/>
        <w:ind w:firstLine="482"/>
        <w:jc w:val="center"/>
        <w:rPr>
          <w:rFonts w:hint="eastAsia"/>
          <w:b/>
          <w:highlight w:val="none"/>
          <w:lang w:bidi="ar"/>
        </w:rPr>
      </w:pPr>
    </w:p>
    <w:p w14:paraId="033248BA">
      <w:pPr>
        <w:pStyle w:val="21"/>
        <w:spacing w:before="0" w:after="120" w:afterAutospacing="0"/>
        <w:ind w:firstLine="482"/>
        <w:jc w:val="center"/>
        <w:rPr>
          <w:rFonts w:hint="eastAsia"/>
          <w:b/>
          <w:highlight w:val="none"/>
          <w:lang w:bidi="ar"/>
        </w:rPr>
      </w:pPr>
    </w:p>
    <w:p w14:paraId="3B1CAF22">
      <w:pPr>
        <w:pStyle w:val="21"/>
        <w:spacing w:before="0" w:after="120" w:afterAutospacing="0"/>
        <w:ind w:firstLine="482"/>
        <w:jc w:val="center"/>
        <w:rPr>
          <w:rFonts w:hint="eastAsia"/>
          <w:b/>
          <w:highlight w:val="none"/>
          <w:lang w:bidi="ar"/>
        </w:rPr>
      </w:pPr>
    </w:p>
    <w:p w14:paraId="56778198">
      <w:pPr>
        <w:pStyle w:val="21"/>
        <w:spacing w:before="0" w:after="120" w:afterAutospacing="0"/>
        <w:ind w:firstLine="482"/>
        <w:jc w:val="center"/>
        <w:rPr>
          <w:rFonts w:hint="eastAsia" w:ascii="宋体" w:hAnsi="宋体" w:eastAsia="宋体" w:cs="宋体"/>
          <w:b/>
          <w:szCs w:val="24"/>
          <w:highlight w:val="none"/>
        </w:rPr>
      </w:pPr>
      <w:r>
        <w:rPr>
          <w:rFonts w:hint="eastAsia" w:ascii="宋体" w:hAnsi="宋体" w:eastAsia="宋体" w:cs="宋体"/>
          <w:b/>
          <w:szCs w:val="24"/>
          <w:highlight w:val="none"/>
          <w:lang w:bidi="ar"/>
        </w:rPr>
        <w:t>二、授权书</w:t>
      </w:r>
    </w:p>
    <w:p w14:paraId="41B397AF">
      <w:pPr>
        <w:pStyle w:val="21"/>
        <w:spacing w:before="0" w:beforeAutospacing="0" w:after="0" w:afterAutospacing="0" w:line="360" w:lineRule="auto"/>
        <w:rPr>
          <w:rFonts w:hint="eastAsia" w:ascii="宋体" w:hAnsi="宋体" w:eastAsia="宋体" w:cs="宋体"/>
          <w:kern w:val="2"/>
          <w:szCs w:val="24"/>
          <w:highlight w:val="none"/>
        </w:rPr>
      </w:pPr>
      <w:r>
        <w:rPr>
          <w:rFonts w:hint="eastAsia" w:ascii="宋体" w:hAnsi="宋体" w:eastAsia="宋体" w:cs="宋体"/>
          <w:kern w:val="2"/>
          <w:szCs w:val="24"/>
          <w:highlight w:val="none"/>
          <w:lang w:bidi="ar"/>
        </w:rPr>
        <w:t xml:space="preserve"> </w:t>
      </w:r>
    </w:p>
    <w:p w14:paraId="21CEEAE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本授权书声明：</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（投标人名称）授权</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（投标人授权代表姓名）代表我方参加本项目</w:t>
      </w:r>
      <w:r>
        <w:rPr>
          <w:rFonts w:hint="eastAsia" w:ascii="宋体" w:hAnsi="宋体" w:eastAsia="宋体" w:cs="宋体"/>
          <w:bCs/>
          <w:sz w:val="24"/>
          <w:szCs w:val="24"/>
          <w:highlight w:val="none"/>
          <w:lang w:bidi="ar"/>
        </w:rPr>
        <w:t>采购活动</w:t>
      </w:r>
      <w:r>
        <w:rPr>
          <w:rFonts w:hint="eastAsia" w:ascii="宋体" w:hAnsi="宋体" w:eastAsia="宋体" w:cs="宋体"/>
          <w:sz w:val="24"/>
          <w:szCs w:val="24"/>
          <w:highlight w:val="none"/>
          <w:lang w:bidi="ar"/>
        </w:rPr>
        <w:t>，全权代表我方处理投标过程的一切事宜，包括但不限于：提交投标文件、参与投标、谈判、签约等。投标人授权代表在投标过程中所签署的一切文件和处理与之有关的一切事务，我方均予以认可并对此承担责任。投标人授权代表无转委托权。特此授权。</w:t>
      </w:r>
    </w:p>
    <w:p w14:paraId="1A16104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本授权书自出具之日起生效。</w:t>
      </w:r>
    </w:p>
    <w:p w14:paraId="5B7A8F3D">
      <w:pPr>
        <w:spacing w:line="360" w:lineRule="auto"/>
        <w:ind w:firstLine="48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授权代表身份证明复印件：</w:t>
      </w:r>
    </w:p>
    <w:p w14:paraId="07D5FA2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36EA0EE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C4A3C8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57012956">
      <w:pPr>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bidi="ar"/>
        </w:rPr>
        <w:t>授权代表联系方式：</w:t>
      </w:r>
      <w:r>
        <w:rPr>
          <w:rFonts w:hint="eastAsia" w:ascii="宋体" w:hAnsi="宋体" w:eastAsia="宋体" w:cs="宋体"/>
          <w:sz w:val="24"/>
          <w:szCs w:val="24"/>
          <w:highlight w:val="none"/>
          <w:u w:val="single"/>
          <w:lang w:bidi="ar"/>
        </w:rPr>
        <w:t xml:space="preserve">          （请填写手机号码）</w:t>
      </w:r>
    </w:p>
    <w:p w14:paraId="629BB2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0A23F49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特此声明。</w:t>
      </w:r>
    </w:p>
    <w:p w14:paraId="206B241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9545B06">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bidi="ar"/>
        </w:rPr>
        <w:t xml:space="preserve">            投标人</w:t>
      </w:r>
      <w:r>
        <w:rPr>
          <w:rFonts w:hint="eastAsia" w:asciiTheme="minorEastAsia" w:hAnsiTheme="minorEastAsia" w:eastAsiaTheme="minorEastAsia"/>
          <w:bCs/>
          <w:sz w:val="24"/>
          <w:highlight w:val="none"/>
        </w:rPr>
        <w:t>盖章</w:t>
      </w: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u w:val="single"/>
          <w:lang w:bidi="ar"/>
        </w:rPr>
        <w:t xml:space="preserve">                  </w:t>
      </w:r>
    </w:p>
    <w:p w14:paraId="4434D8C2">
      <w:pPr>
        <w:spacing w:line="360" w:lineRule="auto"/>
        <w:jc w:val="center"/>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 xml:space="preserve">                     </w:t>
      </w:r>
      <w:r>
        <w:rPr>
          <w:rFonts w:hint="eastAsia" w:ascii="宋体" w:hAnsi="宋体" w:eastAsia="宋体" w:cs="宋体"/>
          <w:bCs/>
          <w:sz w:val="24"/>
          <w:szCs w:val="24"/>
          <w:highlight w:val="none"/>
          <w:lang w:bidi="ar"/>
        </w:rPr>
        <w:t xml:space="preserve">             </w:t>
      </w:r>
      <w:r>
        <w:rPr>
          <w:rFonts w:hint="eastAsia" w:ascii="宋体" w:hAnsi="宋体" w:eastAsia="宋体" w:cs="宋体"/>
          <w:sz w:val="24"/>
          <w:szCs w:val="24"/>
          <w:highlight w:val="none"/>
          <w:lang w:bidi="ar"/>
        </w:rPr>
        <w:t xml:space="preserve">                </w:t>
      </w:r>
    </w:p>
    <w:p w14:paraId="3A6C73A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日  期：</w:t>
      </w:r>
      <w:r>
        <w:rPr>
          <w:rFonts w:hint="eastAsia" w:ascii="宋体" w:hAnsi="宋体" w:eastAsia="宋体" w:cs="宋体"/>
          <w:b/>
          <w:bCs/>
          <w:sz w:val="24"/>
          <w:szCs w:val="24"/>
          <w:highlight w:val="none"/>
          <w:u w:val="single"/>
          <w:lang w:bidi="ar"/>
        </w:rPr>
        <w:t xml:space="preserve">                         </w:t>
      </w:r>
    </w:p>
    <w:p w14:paraId="6D9E8E9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76D0E90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4789B2E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注：</w:t>
      </w:r>
    </w:p>
    <w:p w14:paraId="08A1024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1.本项目只允许有唯一的投标人授权代表，提供身份证明复印件；</w:t>
      </w:r>
    </w:p>
    <w:p w14:paraId="23E1977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2.法定代表人参加磋商的无需提供授权书，提供身份证明复印件。</w:t>
      </w:r>
    </w:p>
    <w:p w14:paraId="207C8E1E">
      <w:pPr>
        <w:spacing w:line="360" w:lineRule="auto"/>
        <w:jc w:val="center"/>
        <w:outlineLvl w:val="1"/>
        <w:rPr>
          <w:rFonts w:hint="eastAsia" w:asciiTheme="minorEastAsia" w:hAnsiTheme="minorEastAsia" w:eastAsiaTheme="minorEastAsia"/>
          <w:b/>
          <w:sz w:val="24"/>
          <w:highlight w:val="none"/>
        </w:rPr>
      </w:pPr>
      <w:r>
        <w:rPr>
          <w:rFonts w:hint="eastAsia"/>
          <w:highlight w:val="none"/>
          <w:lang w:bidi="ar"/>
        </w:rPr>
        <w:br w:type="page"/>
      </w:r>
    </w:p>
    <w:p w14:paraId="6564DF3A">
      <w:pPr>
        <w:spacing w:line="360" w:lineRule="auto"/>
        <w:jc w:val="center"/>
        <w:outlineLvl w:val="1"/>
        <w:rPr>
          <w:rFonts w:hint="eastAsia" w:asciiTheme="minorEastAsia" w:hAnsiTheme="minorEastAsia" w:eastAsiaTheme="minorEastAsia"/>
          <w:b/>
          <w:sz w:val="24"/>
          <w:highlight w:val="none"/>
        </w:rPr>
      </w:pPr>
    </w:p>
    <w:p w14:paraId="69D4951A">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三、开标一览表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15DB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1B68E8E7">
            <w:pPr>
              <w:widowControl/>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项目名称</w:t>
            </w:r>
          </w:p>
        </w:tc>
        <w:tc>
          <w:tcPr>
            <w:tcW w:w="3648" w:type="pct"/>
            <w:tcBorders>
              <w:top w:val="single" w:color="auto" w:sz="4" w:space="0"/>
              <w:bottom w:val="single" w:color="auto" w:sz="4" w:space="0"/>
              <w:right w:val="single" w:color="auto" w:sz="4" w:space="0"/>
            </w:tcBorders>
            <w:vAlign w:val="center"/>
          </w:tcPr>
          <w:p w14:paraId="22BBB352">
            <w:pPr>
              <w:spacing w:line="360" w:lineRule="exact"/>
              <w:jc w:val="center"/>
              <w:rPr>
                <w:rFonts w:hint="eastAsia" w:asciiTheme="minorEastAsia" w:hAnsiTheme="minorEastAsia" w:eastAsiaTheme="minorEastAsia"/>
                <w:bCs/>
                <w:sz w:val="24"/>
                <w:highlight w:val="none"/>
                <w:u w:val="single"/>
              </w:rPr>
            </w:pPr>
          </w:p>
        </w:tc>
      </w:tr>
      <w:tr w14:paraId="42B7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352" w:type="pct"/>
            <w:tcBorders>
              <w:top w:val="nil"/>
            </w:tcBorders>
            <w:vAlign w:val="center"/>
          </w:tcPr>
          <w:p w14:paraId="11E5AC59">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投标人全称</w:t>
            </w:r>
          </w:p>
        </w:tc>
        <w:tc>
          <w:tcPr>
            <w:tcW w:w="3648" w:type="pct"/>
            <w:tcBorders>
              <w:top w:val="nil"/>
            </w:tcBorders>
            <w:vAlign w:val="center"/>
          </w:tcPr>
          <w:p w14:paraId="331188BB">
            <w:pPr>
              <w:spacing w:line="360" w:lineRule="auto"/>
              <w:rPr>
                <w:rFonts w:hint="eastAsia" w:asciiTheme="minorEastAsia" w:hAnsiTheme="minorEastAsia" w:eastAsiaTheme="minorEastAsia"/>
                <w:sz w:val="24"/>
                <w:highlight w:val="none"/>
              </w:rPr>
            </w:pPr>
          </w:p>
        </w:tc>
      </w:tr>
      <w:tr w14:paraId="6A59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352" w:type="pct"/>
            <w:tcBorders>
              <w:top w:val="nil"/>
            </w:tcBorders>
            <w:vAlign w:val="center"/>
          </w:tcPr>
          <w:p w14:paraId="0B8B9124">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投标范围</w:t>
            </w:r>
          </w:p>
        </w:tc>
        <w:tc>
          <w:tcPr>
            <w:tcW w:w="3648" w:type="pct"/>
            <w:tcBorders>
              <w:top w:val="nil"/>
            </w:tcBorders>
            <w:vAlign w:val="center"/>
          </w:tcPr>
          <w:p w14:paraId="044BC88E">
            <w:pPr>
              <w:widowControl/>
              <w:spacing w:line="360" w:lineRule="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全部</w:t>
            </w:r>
          </w:p>
        </w:tc>
      </w:tr>
      <w:tr w14:paraId="2114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352" w:type="pct"/>
            <w:tcBorders>
              <w:top w:val="nil"/>
            </w:tcBorders>
            <w:vAlign w:val="center"/>
          </w:tcPr>
          <w:p w14:paraId="0C1F0AFF">
            <w:pPr>
              <w:spacing w:line="360" w:lineRule="exact"/>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投标报价</w:t>
            </w:r>
          </w:p>
        </w:tc>
        <w:tc>
          <w:tcPr>
            <w:tcW w:w="3648" w:type="pct"/>
            <w:tcBorders>
              <w:top w:val="nil"/>
            </w:tcBorders>
            <w:vAlign w:val="center"/>
          </w:tcPr>
          <w:p w14:paraId="1DF58F7D">
            <w:pPr>
              <w:snapToGrid w:val="0"/>
              <w:spacing w:line="360" w:lineRule="auto"/>
              <w:jc w:val="lef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708E6062">
            <w:pPr>
              <w:spacing w:line="360" w:lineRule="auto"/>
              <w:ind w:right="-670"/>
              <w:rPr>
                <w:rFonts w:hint="eastAsia" w:eastAsia="宋体" w:asciiTheme="minorEastAsia" w:hAnsi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tc>
      </w:tr>
      <w:tr w14:paraId="1BD0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2DC0B971">
            <w:pPr>
              <w:spacing w:line="360" w:lineRule="auto"/>
              <w:jc w:val="center"/>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其他</w:t>
            </w:r>
          </w:p>
        </w:tc>
        <w:tc>
          <w:tcPr>
            <w:tcW w:w="3648" w:type="pct"/>
            <w:tcBorders>
              <w:top w:val="nil"/>
            </w:tcBorders>
            <w:vAlign w:val="center"/>
          </w:tcPr>
          <w:p w14:paraId="5596F8B8">
            <w:pPr>
              <w:spacing w:line="360" w:lineRule="auto"/>
              <w:jc w:val="left"/>
              <w:rPr>
                <w:rFonts w:hint="eastAsia" w:asciiTheme="minorEastAsia" w:hAnsiTheme="minorEastAsia" w:eastAsiaTheme="minorEastAsia"/>
                <w:sz w:val="24"/>
                <w:szCs w:val="28"/>
                <w:highlight w:val="none"/>
              </w:rPr>
            </w:pPr>
          </w:p>
        </w:tc>
      </w:tr>
    </w:tbl>
    <w:p w14:paraId="2AF4AE6F">
      <w:pPr>
        <w:spacing w:line="360" w:lineRule="auto"/>
        <w:ind w:firstLine="4320" w:firstLineChars="1800"/>
        <w:jc w:val="center"/>
        <w:rPr>
          <w:rFonts w:hint="eastAsia" w:asciiTheme="minorEastAsia" w:hAnsiTheme="minorEastAsia" w:eastAsiaTheme="minorEastAsia"/>
          <w:bCs/>
          <w:sz w:val="24"/>
          <w:highlight w:val="none"/>
        </w:rPr>
      </w:pPr>
    </w:p>
    <w:p w14:paraId="07D4B311">
      <w:pPr>
        <w:spacing w:line="360" w:lineRule="auto"/>
        <w:ind w:firstLine="4320" w:firstLineChars="1800"/>
        <w:jc w:val="center"/>
        <w:rPr>
          <w:rFonts w:hint="eastAsia"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投标人盖章：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05E64562">
      <w:pPr>
        <w:spacing w:line="360" w:lineRule="auto"/>
        <w:ind w:firstLine="4320" w:firstLineChars="1800"/>
        <w:jc w:val="center"/>
        <w:rPr>
          <w:rFonts w:hint="eastAsia"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6E006889">
      <w:pPr>
        <w:spacing w:line="360" w:lineRule="auto"/>
        <w:rPr>
          <w:rFonts w:hint="eastAsia" w:asciiTheme="minorEastAsia" w:hAnsiTheme="minorEastAsia" w:eastAsiaTheme="minorEastAsia"/>
          <w:sz w:val="24"/>
          <w:highlight w:val="none"/>
        </w:rPr>
      </w:pPr>
      <w:r>
        <w:rPr>
          <w:rFonts w:asciiTheme="minorEastAsia" w:hAnsiTheme="minorEastAsia" w:eastAsiaTheme="minorEastAsia"/>
          <w:sz w:val="24"/>
          <w:highlight w:val="none"/>
        </w:rPr>
        <w:t xml:space="preserve">     </w:t>
      </w:r>
    </w:p>
    <w:p w14:paraId="20B748DB">
      <w:pPr>
        <w:spacing w:line="360" w:lineRule="auto"/>
        <w:ind w:firstLine="360" w:firstLineChars="150"/>
        <w:rPr>
          <w:rFonts w:hint="eastAsia" w:asciiTheme="minorEastAsia" w:hAnsiTheme="minorEastAsia" w:eastAsiaTheme="minorEastAsia"/>
          <w:sz w:val="24"/>
          <w:highlight w:val="none"/>
        </w:rPr>
      </w:pPr>
    </w:p>
    <w:p w14:paraId="3272C16A">
      <w:pPr>
        <w:spacing w:line="360" w:lineRule="auto"/>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注：</w:t>
      </w:r>
    </w:p>
    <w:p w14:paraId="7772E0C3">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此表用于开标唱标之用。</w:t>
      </w:r>
    </w:p>
    <w:p w14:paraId="0D259034">
      <w:pPr>
        <w:spacing w:line="360" w:lineRule="auto"/>
        <w:ind w:firstLine="435"/>
        <w:rPr>
          <w:rFonts w:hint="eastAsia"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任何有选择或有条件的投标报价，或者表中某一包别填写多个报价，均为无效报价。</w:t>
      </w:r>
    </w:p>
    <w:p w14:paraId="7519DC0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3.表中大写金额与小写金额不一致的，以大写金额为准。</w:t>
      </w:r>
      <w:r>
        <w:rPr>
          <w:rFonts w:asciiTheme="minorEastAsia" w:hAnsiTheme="minorEastAsia" w:eastAsiaTheme="minorEastAsia"/>
          <w:sz w:val="24"/>
          <w:highlight w:val="none"/>
        </w:rPr>
        <w:br w:type="page"/>
      </w:r>
    </w:p>
    <w:p w14:paraId="7C19E648">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rPr>
        <w:t>四、投标函</w:t>
      </w:r>
    </w:p>
    <w:p w14:paraId="08A442C8">
      <w:pPr>
        <w:pStyle w:val="14"/>
        <w:spacing w:line="360" w:lineRule="auto"/>
        <w:rPr>
          <w:rFonts w:hint="eastAsia" w:ascii="宋体" w:hAnsi="宋体"/>
          <w:sz w:val="24"/>
          <w:highlight w:val="none"/>
          <w:u w:val="single"/>
        </w:rPr>
      </w:pPr>
      <w:r>
        <w:rPr>
          <w:rFonts w:hint="eastAsia" w:ascii="宋体" w:hAnsi="宋体"/>
          <w:sz w:val="24"/>
          <w:highlight w:val="none"/>
        </w:rPr>
        <w:t>致：</w:t>
      </w:r>
      <w:r>
        <w:rPr>
          <w:rFonts w:hint="eastAsia" w:ascii="宋体" w:hAnsi="宋体"/>
          <w:sz w:val="24"/>
          <w:highlight w:val="none"/>
          <w:u w:val="single"/>
        </w:rPr>
        <w:t>采购人</w:t>
      </w:r>
    </w:p>
    <w:p w14:paraId="20A2B86B">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根据贵方的招标公告和投标邀请，我方兹宣布同意如下：</w:t>
      </w:r>
    </w:p>
    <w:p w14:paraId="1D89987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我方根据招标文件的规定，严格履行合同的责任和义务,并保证于买方要求的日期内完成，并通过买方验收。</w:t>
      </w:r>
    </w:p>
    <w:p w14:paraId="42AB04E4">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2.我方已详细审核全部招标文件，包括招标文件附件及更正公告（如有），我方正式认可并遵守本次招标文件，并对招标文件各项条款、规定及要求均无异议。</w:t>
      </w:r>
    </w:p>
    <w:p w14:paraId="35E77BBD">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3.我方同意从招标文件规定的开标日期起遵循本招标文件，并在招标文件规定的投标有效期之前均具有约束力。</w:t>
      </w:r>
    </w:p>
    <w:p w14:paraId="0C82E47E">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14847FA8">
      <w:pPr>
        <w:spacing w:line="360" w:lineRule="auto"/>
        <w:ind w:firstLine="4800" w:firstLineChars="2000"/>
        <w:rPr>
          <w:rFonts w:hint="eastAsia" w:ascii="宋体" w:hAnsi="宋体" w:eastAsia="宋体"/>
          <w:sz w:val="24"/>
          <w:highlight w:val="none"/>
        </w:rPr>
      </w:pPr>
    </w:p>
    <w:p w14:paraId="3A220741">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投标人盖章：</w:t>
      </w:r>
      <w:r>
        <w:rPr>
          <w:rFonts w:hint="eastAsia" w:ascii="宋体" w:hAnsi="宋体" w:eastAsia="宋体"/>
          <w:sz w:val="24"/>
          <w:highlight w:val="none"/>
          <w:u w:val="single"/>
        </w:rPr>
        <w:t xml:space="preserve">             </w:t>
      </w:r>
    </w:p>
    <w:p w14:paraId="467D1D6F">
      <w:pPr>
        <w:spacing w:line="360" w:lineRule="auto"/>
        <w:ind w:firstLine="4800" w:firstLineChars="2000"/>
        <w:rPr>
          <w:rFonts w:hint="eastAsia"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48DEF67A">
      <w:pPr>
        <w:widowControl/>
        <w:jc w:val="left"/>
        <w:rPr>
          <w:rFonts w:hint="eastAsia" w:ascii="宋体" w:hAnsi="宋体" w:eastAsia="宋体"/>
          <w:sz w:val="24"/>
          <w:highlight w:val="none"/>
          <w:u w:val="single"/>
        </w:rPr>
      </w:pPr>
      <w:r>
        <w:rPr>
          <w:rFonts w:ascii="宋体" w:hAnsi="宋体" w:eastAsia="宋体"/>
          <w:sz w:val="24"/>
          <w:highlight w:val="none"/>
          <w:u w:val="single"/>
        </w:rPr>
        <w:br w:type="page"/>
      </w:r>
    </w:p>
    <w:p w14:paraId="2CA28747">
      <w:pPr>
        <w:spacing w:line="360" w:lineRule="auto"/>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五、投标报价表</w:t>
      </w:r>
    </w:p>
    <w:tbl>
      <w:tblPr>
        <w:tblStyle w:val="26"/>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347"/>
        <w:gridCol w:w="2246"/>
        <w:gridCol w:w="933"/>
        <w:gridCol w:w="877"/>
        <w:gridCol w:w="1187"/>
        <w:gridCol w:w="939"/>
        <w:gridCol w:w="490"/>
      </w:tblGrid>
      <w:tr w14:paraId="3CA8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722C8A47">
            <w:pPr>
              <w:pStyle w:val="21"/>
              <w:spacing w:before="0" w:beforeAutospacing="0" w:after="0" w:afterAutospacing="0"/>
              <w:jc w:val="center"/>
              <w:rPr>
                <w:rFonts w:hint="eastAsia" w:ascii="宋体" w:hAnsi="宋体" w:eastAsia="宋体" w:cs="@仿宋_GB2312"/>
                <w:b/>
                <w:kern w:val="2"/>
                <w:szCs w:val="24"/>
                <w:highlight w:val="none"/>
              </w:rPr>
            </w:pPr>
            <w:r>
              <w:rPr>
                <w:rFonts w:hint="eastAsia" w:ascii="宋体" w:hAnsi="宋体" w:eastAsia="宋体" w:cs="宋体"/>
                <w:b/>
                <w:kern w:val="2"/>
                <w:szCs w:val="24"/>
                <w:highlight w:val="none"/>
                <w:lang w:bidi="ar"/>
              </w:rPr>
              <w:t>序号</w:t>
            </w:r>
          </w:p>
        </w:tc>
        <w:tc>
          <w:tcPr>
            <w:tcW w:w="21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687A9">
            <w:pPr>
              <w:jc w:val="center"/>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名称</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59DF5B3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数量</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68BB8B3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单位</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7DD8EAA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综合单价</w:t>
            </w:r>
          </w:p>
          <w:p w14:paraId="05AF5740">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（元）</w:t>
            </w: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32B2DD7C">
            <w:pPr>
              <w:jc w:val="center"/>
              <w:rPr>
                <w:rFonts w:hint="eastAsia" w:ascii="宋体" w:hAnsi="宋体" w:eastAsia="宋体"/>
                <w:b/>
                <w:sz w:val="24"/>
                <w:szCs w:val="24"/>
                <w:highlight w:val="none"/>
                <w:lang w:eastAsia="zh-CN"/>
              </w:rPr>
            </w:pPr>
            <w:r>
              <w:rPr>
                <w:rFonts w:hint="eastAsia" w:ascii="宋体" w:hAnsi="宋体" w:eastAsia="宋体" w:cs="宋体"/>
                <w:b/>
                <w:sz w:val="24"/>
                <w:szCs w:val="24"/>
                <w:highlight w:val="none"/>
                <w:lang w:val="en-US" w:eastAsia="zh-CN" w:bidi="ar"/>
              </w:rPr>
              <w:t>合价</w:t>
            </w:r>
          </w:p>
          <w:p w14:paraId="12E7B079">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（元）</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5D69BDF0">
            <w:pPr>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备注</w:t>
            </w:r>
          </w:p>
        </w:tc>
      </w:tr>
      <w:tr w14:paraId="1EAD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29F326F6">
            <w:pPr>
              <w:jc w:val="center"/>
              <w:rPr>
                <w:rFonts w:hint="eastAsia" w:ascii="宋体" w:hAnsi="宋体" w:eastAsia="宋体"/>
                <w:sz w:val="24"/>
                <w:szCs w:val="24"/>
                <w:highlight w:val="none"/>
              </w:rPr>
            </w:pPr>
            <w:r>
              <w:rPr>
                <w:rFonts w:hint="eastAsia" w:ascii="宋体" w:hAnsi="宋体" w:eastAsia="宋体"/>
                <w:sz w:val="24"/>
                <w:szCs w:val="24"/>
                <w:highlight w:val="none"/>
              </w:rPr>
              <w:t>1</w:t>
            </w:r>
          </w:p>
        </w:tc>
        <w:tc>
          <w:tcPr>
            <w:tcW w:w="21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AA066C">
            <w:pPr>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球管更换</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1DC51E33">
            <w:pPr>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2E245083">
            <w:pPr>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42317E18">
            <w:pPr>
              <w:rPr>
                <w:rFonts w:hint="eastAsia" w:ascii="宋体" w:hAnsi="宋体" w:eastAsia="宋体" w:cs="宋体"/>
                <w:kern w:val="2"/>
                <w:sz w:val="24"/>
                <w:szCs w:val="24"/>
                <w:highlight w:val="none"/>
                <w:lang w:val="en-US" w:eastAsia="zh-CN" w:bidi="ar"/>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7FBF23A6">
            <w:pPr>
              <w:rPr>
                <w:rFonts w:hint="eastAsia" w:ascii="宋体" w:hAnsi="宋体" w:eastAsia="宋体"/>
                <w:sz w:val="24"/>
                <w:szCs w:val="24"/>
                <w:highlight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62C79BB4">
            <w:pPr>
              <w:rPr>
                <w:rFonts w:hint="eastAsia" w:ascii="宋体" w:hAnsi="宋体" w:eastAsia="宋体"/>
                <w:sz w:val="24"/>
                <w:szCs w:val="24"/>
                <w:highlight w:val="none"/>
              </w:rPr>
            </w:pPr>
          </w:p>
        </w:tc>
      </w:tr>
      <w:tr w14:paraId="02DC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69" w:type="pct"/>
            <w:tcBorders>
              <w:top w:val="single" w:color="auto" w:sz="4" w:space="0"/>
              <w:left w:val="single" w:color="auto" w:sz="4" w:space="0"/>
              <w:bottom w:val="single" w:color="auto" w:sz="4" w:space="0"/>
              <w:right w:val="single" w:color="auto" w:sz="4" w:space="0"/>
            </w:tcBorders>
            <w:shd w:val="clear" w:color="auto" w:fill="auto"/>
            <w:vAlign w:val="center"/>
          </w:tcPr>
          <w:p w14:paraId="1D727233">
            <w:pPr>
              <w:jc w:val="cente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w:t>
            </w:r>
          </w:p>
        </w:tc>
        <w:tc>
          <w:tcPr>
            <w:tcW w:w="212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0C93E5">
            <w:pPr>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检查床、机架及散热系统保养维修</w:t>
            </w: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14:paraId="3EADB3E7">
            <w:pPr>
              <w:jc w:val="center"/>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2FDC62D5">
            <w:pPr>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14:paraId="315F24DB">
            <w:pPr>
              <w:rPr>
                <w:rFonts w:hint="eastAsia" w:ascii="宋体" w:hAnsi="宋体" w:eastAsia="宋体" w:cs="宋体"/>
                <w:kern w:val="2"/>
                <w:sz w:val="24"/>
                <w:szCs w:val="24"/>
                <w:highlight w:val="none"/>
                <w:lang w:val="en-US" w:eastAsia="zh-CN" w:bidi="ar"/>
              </w:rPr>
            </w:pP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14:paraId="402E2DEA">
            <w:pPr>
              <w:rPr>
                <w:rFonts w:hint="eastAsia" w:ascii="宋体" w:hAnsi="宋体" w:eastAsia="宋体"/>
                <w:sz w:val="24"/>
                <w:szCs w:val="24"/>
                <w:highlight w:val="none"/>
              </w:rPr>
            </w:pP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46F6FBD3">
            <w:pPr>
              <w:rPr>
                <w:rFonts w:hint="eastAsia" w:ascii="宋体" w:hAnsi="宋体" w:eastAsia="宋体"/>
                <w:sz w:val="24"/>
                <w:szCs w:val="24"/>
                <w:highlight w:val="none"/>
              </w:rPr>
            </w:pPr>
          </w:p>
        </w:tc>
      </w:tr>
      <w:tr w14:paraId="1DAC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0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88BFF">
            <w:pPr>
              <w:pStyle w:val="21"/>
              <w:spacing w:before="0" w:beforeAutospacing="0" w:after="0" w:afterAutospacing="0"/>
              <w:jc w:val="center"/>
              <w:rPr>
                <w:rFonts w:hint="eastAsia" w:ascii="宋体" w:hAnsi="宋体" w:eastAsia="宋体" w:cs="Arial"/>
                <w:kern w:val="2"/>
                <w:szCs w:val="24"/>
                <w:highlight w:val="none"/>
              </w:rPr>
            </w:pPr>
            <w:r>
              <w:rPr>
                <w:rFonts w:hint="eastAsia" w:ascii="宋体" w:hAnsi="宋体" w:eastAsia="宋体" w:cs="宋体"/>
                <w:kern w:val="2"/>
                <w:szCs w:val="24"/>
                <w:highlight w:val="none"/>
                <w:lang w:val="en-US" w:eastAsia="zh-CN" w:bidi="ar"/>
              </w:rPr>
              <w:t>投标总报价</w:t>
            </w:r>
            <w:r>
              <w:rPr>
                <w:rFonts w:hint="eastAsia" w:ascii="宋体" w:hAnsi="宋体" w:eastAsia="宋体" w:cs="宋体"/>
                <w:kern w:val="2"/>
                <w:szCs w:val="24"/>
                <w:highlight w:val="none"/>
                <w:lang w:bidi="ar"/>
              </w:rPr>
              <w:t>合计（元）</w:t>
            </w:r>
          </w:p>
        </w:tc>
        <w:tc>
          <w:tcPr>
            <w:tcW w:w="393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57FAA13">
            <w:pPr>
              <w:spacing w:line="360" w:lineRule="exact"/>
              <w:rPr>
                <w:rFonts w:hint="eastAsia" w:ascii="宋体" w:hAnsi="宋体" w:eastAsia="宋体"/>
                <w:sz w:val="24"/>
                <w:szCs w:val="24"/>
                <w:highlight w:val="none"/>
              </w:rPr>
            </w:pPr>
            <w:r>
              <w:rPr>
                <w:rFonts w:hint="eastAsia" w:ascii="宋体" w:hAnsi="宋体" w:eastAsia="宋体" w:cs="宋体"/>
                <w:sz w:val="24"/>
                <w:szCs w:val="24"/>
                <w:highlight w:val="none"/>
                <w:lang w:bidi="ar"/>
              </w:rPr>
              <w:t>大写：</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 ；小写：</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 。</w:t>
            </w:r>
            <w:r>
              <w:rPr>
                <w:rFonts w:hint="eastAsia" w:ascii="宋体" w:hAnsi="宋体" w:eastAsia="宋体" w:cs="宋体"/>
                <w:b/>
                <w:bCs/>
                <w:sz w:val="24"/>
                <w:szCs w:val="24"/>
                <w:highlight w:val="none"/>
                <w:lang w:bidi="ar"/>
              </w:rPr>
              <w:t>（填入开标一览表）</w:t>
            </w:r>
          </w:p>
        </w:tc>
      </w:tr>
    </w:tbl>
    <w:p w14:paraId="7D99DC96">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投标人盖章：</w:t>
      </w:r>
      <w:r>
        <w:rPr>
          <w:rFonts w:hint="eastAsia" w:ascii="宋体" w:hAnsi="宋体" w:eastAsia="宋体"/>
          <w:sz w:val="24"/>
          <w:szCs w:val="24"/>
          <w:highlight w:val="none"/>
          <w:u w:val="single"/>
          <w:lang w:bidi="ar"/>
        </w:rPr>
        <w:t xml:space="preserve">             </w:t>
      </w:r>
    </w:p>
    <w:p w14:paraId="12B064C0">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1415CFC7">
      <w:pPr>
        <w:adjustRightInd w:val="0"/>
        <w:snapToGrid w:val="0"/>
        <w:spacing w:line="360" w:lineRule="auto"/>
        <w:rPr>
          <w:rFonts w:hint="eastAsia" w:ascii="宋体" w:hAnsi="宋体" w:eastAsia="宋体"/>
          <w:b/>
          <w:bCs/>
          <w:sz w:val="24"/>
          <w:szCs w:val="24"/>
          <w:highlight w:val="none"/>
        </w:rPr>
      </w:pPr>
      <w:r>
        <w:rPr>
          <w:rFonts w:hint="eastAsia" w:ascii="宋体" w:hAnsi="宋体" w:eastAsia="宋体"/>
          <w:b/>
          <w:bCs/>
          <w:sz w:val="24"/>
          <w:szCs w:val="24"/>
          <w:highlight w:val="none"/>
          <w:lang w:bidi="ar"/>
        </w:rPr>
        <w:t xml:space="preserve"> </w:t>
      </w:r>
    </w:p>
    <w:p w14:paraId="191691B3">
      <w:pPr>
        <w:spacing w:line="360" w:lineRule="auto"/>
        <w:jc w:val="left"/>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注：表中所列</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内容</w:t>
      </w:r>
      <w:r>
        <w:rPr>
          <w:rFonts w:hint="eastAsia" w:ascii="宋体" w:hAnsi="宋体" w:eastAsia="宋体" w:cs="宋体"/>
          <w:color w:val="000000" w:themeColor="text1"/>
          <w:sz w:val="24"/>
          <w:szCs w:val="24"/>
          <w:highlight w:val="none"/>
          <w:lang w:bidi="ar"/>
          <w14:textFill>
            <w14:solidFill>
              <w14:schemeClr w14:val="tx1"/>
            </w14:solidFill>
          </w14:textFill>
        </w:rPr>
        <w:t>为对应本项目需求的全部</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服务，</w:t>
      </w:r>
      <w:r>
        <w:rPr>
          <w:rFonts w:hint="eastAsia" w:ascii="宋体" w:hAnsi="宋体" w:eastAsia="宋体" w:cs="宋体"/>
          <w:color w:val="000000" w:themeColor="text1"/>
          <w:sz w:val="24"/>
          <w:szCs w:val="24"/>
          <w:highlight w:val="none"/>
          <w:lang w:bidi="ar"/>
          <w14:textFill>
            <w14:solidFill>
              <w14:schemeClr w14:val="tx1"/>
            </w14:solidFill>
          </w14:textFill>
        </w:rPr>
        <w:t>报价应含有服务（货物）、利润、税金、政策性文件规定及合同包含的所有风险、责任、义务等，即为完成采购文件要求的服务内容所包含的一切应有费用。如有漏项或缺项，投标人承担全部责任。</w:t>
      </w:r>
    </w:p>
    <w:p w14:paraId="11E034A1">
      <w:pPr>
        <w:spacing w:line="360" w:lineRule="auto"/>
        <w:jc w:val="center"/>
        <w:rPr>
          <w:rFonts w:hint="eastAsia" w:ascii="宋体" w:hAnsi="宋体" w:eastAsia="宋体" w:cs="宋体"/>
          <w:b/>
          <w:sz w:val="24"/>
          <w:szCs w:val="24"/>
          <w:highlight w:val="none"/>
          <w:lang w:bidi="ar"/>
        </w:rPr>
      </w:pPr>
    </w:p>
    <w:p w14:paraId="75244CDE">
      <w:pPr>
        <w:spacing w:line="360" w:lineRule="auto"/>
        <w:jc w:val="center"/>
        <w:rPr>
          <w:rFonts w:hint="eastAsia" w:ascii="宋体" w:hAnsi="宋体" w:eastAsia="宋体" w:cs="宋体"/>
          <w:b/>
          <w:sz w:val="24"/>
          <w:szCs w:val="24"/>
          <w:highlight w:val="none"/>
          <w:lang w:bidi="ar"/>
        </w:rPr>
      </w:pPr>
    </w:p>
    <w:p w14:paraId="7548B7F2">
      <w:pPr>
        <w:spacing w:line="360" w:lineRule="auto"/>
        <w:jc w:val="center"/>
        <w:rPr>
          <w:rFonts w:hint="eastAsia" w:ascii="宋体" w:hAnsi="宋体" w:eastAsia="宋体" w:cs="宋体"/>
          <w:b/>
          <w:sz w:val="24"/>
          <w:szCs w:val="24"/>
          <w:highlight w:val="none"/>
          <w:lang w:bidi="ar"/>
        </w:rPr>
      </w:pPr>
    </w:p>
    <w:p w14:paraId="5CE188FE">
      <w:pPr>
        <w:spacing w:line="360" w:lineRule="auto"/>
        <w:jc w:val="center"/>
        <w:rPr>
          <w:rFonts w:hint="eastAsia" w:ascii="宋体" w:hAnsi="宋体" w:eastAsia="宋体" w:cs="宋体"/>
          <w:b/>
          <w:sz w:val="24"/>
          <w:szCs w:val="24"/>
          <w:highlight w:val="none"/>
          <w:lang w:bidi="ar"/>
        </w:rPr>
      </w:pPr>
    </w:p>
    <w:p w14:paraId="36C1F1F5">
      <w:pPr>
        <w:spacing w:line="360" w:lineRule="auto"/>
        <w:jc w:val="center"/>
        <w:rPr>
          <w:rFonts w:hint="eastAsia" w:ascii="宋体" w:hAnsi="宋体" w:eastAsia="宋体" w:cs="宋体"/>
          <w:b/>
          <w:sz w:val="24"/>
          <w:szCs w:val="24"/>
          <w:highlight w:val="none"/>
          <w:lang w:bidi="ar"/>
        </w:rPr>
      </w:pPr>
    </w:p>
    <w:p w14:paraId="7193E6FA">
      <w:pPr>
        <w:spacing w:line="360" w:lineRule="auto"/>
        <w:jc w:val="center"/>
        <w:rPr>
          <w:rFonts w:hint="eastAsia" w:ascii="宋体" w:hAnsi="宋体" w:eastAsia="宋体" w:cs="宋体"/>
          <w:b/>
          <w:sz w:val="24"/>
          <w:szCs w:val="24"/>
          <w:highlight w:val="none"/>
          <w:lang w:bidi="ar"/>
        </w:rPr>
      </w:pPr>
    </w:p>
    <w:p w14:paraId="3E0B28B4">
      <w:pPr>
        <w:spacing w:line="360" w:lineRule="auto"/>
        <w:jc w:val="center"/>
        <w:rPr>
          <w:rFonts w:hint="eastAsia" w:ascii="宋体" w:hAnsi="宋体" w:eastAsia="宋体" w:cs="宋体"/>
          <w:b/>
          <w:sz w:val="24"/>
          <w:szCs w:val="24"/>
          <w:highlight w:val="none"/>
          <w:lang w:bidi="ar"/>
        </w:rPr>
      </w:pPr>
    </w:p>
    <w:p w14:paraId="1AE7240D">
      <w:pPr>
        <w:spacing w:line="360" w:lineRule="auto"/>
        <w:jc w:val="center"/>
        <w:rPr>
          <w:rFonts w:hint="eastAsia" w:ascii="宋体" w:hAnsi="宋体" w:eastAsia="宋体" w:cs="宋体"/>
          <w:b/>
          <w:sz w:val="24"/>
          <w:szCs w:val="24"/>
          <w:highlight w:val="none"/>
          <w:lang w:bidi="ar"/>
        </w:rPr>
      </w:pPr>
    </w:p>
    <w:p w14:paraId="31E2B331">
      <w:pPr>
        <w:pStyle w:val="41"/>
        <w:rPr>
          <w:rFonts w:hint="eastAsia" w:ascii="宋体" w:hAnsi="宋体" w:eastAsia="宋体" w:cs="宋体"/>
          <w:b/>
          <w:sz w:val="24"/>
          <w:szCs w:val="24"/>
          <w:highlight w:val="none"/>
          <w:lang w:bidi="ar"/>
        </w:rPr>
      </w:pPr>
    </w:p>
    <w:p w14:paraId="7F5F80B6">
      <w:pPr>
        <w:pStyle w:val="41"/>
        <w:rPr>
          <w:rFonts w:hint="eastAsia" w:ascii="宋体" w:hAnsi="宋体" w:eastAsia="宋体" w:cs="宋体"/>
          <w:b/>
          <w:sz w:val="24"/>
          <w:szCs w:val="24"/>
          <w:highlight w:val="none"/>
          <w:lang w:bidi="ar"/>
        </w:rPr>
      </w:pPr>
    </w:p>
    <w:p w14:paraId="086AE8E6">
      <w:pPr>
        <w:spacing w:line="360" w:lineRule="auto"/>
        <w:jc w:val="center"/>
        <w:rPr>
          <w:rFonts w:hint="eastAsia" w:ascii="宋体" w:hAnsi="宋体" w:eastAsia="宋体" w:cs="宋体"/>
          <w:b/>
          <w:sz w:val="24"/>
          <w:szCs w:val="24"/>
          <w:highlight w:val="none"/>
          <w:lang w:bidi="ar"/>
        </w:rPr>
      </w:pPr>
    </w:p>
    <w:p w14:paraId="1923E08D">
      <w:pPr>
        <w:spacing w:line="360" w:lineRule="auto"/>
        <w:jc w:val="center"/>
        <w:rPr>
          <w:rFonts w:hint="eastAsia" w:ascii="宋体" w:hAnsi="宋体" w:eastAsia="宋体" w:cs="宋体"/>
          <w:b/>
          <w:sz w:val="24"/>
          <w:szCs w:val="24"/>
          <w:highlight w:val="none"/>
          <w:lang w:bidi="ar"/>
        </w:rPr>
      </w:pPr>
    </w:p>
    <w:p w14:paraId="106A4B08">
      <w:pPr>
        <w:spacing w:line="360" w:lineRule="auto"/>
        <w:jc w:val="center"/>
        <w:rPr>
          <w:rFonts w:hint="eastAsia" w:ascii="宋体" w:hAnsi="宋体" w:eastAsia="宋体"/>
          <w:b/>
          <w:sz w:val="24"/>
          <w:szCs w:val="24"/>
          <w:highlight w:val="none"/>
        </w:rPr>
      </w:pPr>
      <w:r>
        <w:rPr>
          <w:rFonts w:hint="eastAsia" w:ascii="宋体" w:hAnsi="宋体" w:eastAsia="宋体" w:cs="宋体"/>
          <w:b/>
          <w:sz w:val="24"/>
          <w:szCs w:val="24"/>
          <w:highlight w:val="none"/>
          <w:lang w:bidi="ar"/>
        </w:rPr>
        <w:t>六、投标响应表</w:t>
      </w:r>
    </w:p>
    <w:p w14:paraId="58CD2229">
      <w:pPr>
        <w:spacing w:line="360" w:lineRule="auto"/>
        <w:ind w:firstLine="435"/>
        <w:rPr>
          <w:rFonts w:hint="eastAsia" w:ascii="宋体" w:hAnsi="宋体" w:eastAsia="宋体"/>
          <w:b/>
          <w:sz w:val="24"/>
          <w:szCs w:val="24"/>
          <w:highlight w:val="none"/>
        </w:rPr>
      </w:pPr>
      <w:r>
        <w:rPr>
          <w:rFonts w:hint="eastAsia" w:ascii="宋体" w:hAnsi="宋体" w:eastAsia="宋体" w:cs="宋体"/>
          <w:b/>
          <w:sz w:val="24"/>
          <w:szCs w:val="24"/>
          <w:highlight w:val="none"/>
          <w:lang w:bidi="ar"/>
        </w:rPr>
        <w:t>1.商务响应表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5DA9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0A457D5">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序号</w:t>
            </w:r>
          </w:p>
        </w:tc>
        <w:tc>
          <w:tcPr>
            <w:tcW w:w="1124" w:type="pct"/>
            <w:tcBorders>
              <w:top w:val="single" w:color="auto" w:sz="4" w:space="0"/>
              <w:left w:val="nil"/>
              <w:bottom w:val="single" w:color="auto" w:sz="4" w:space="0"/>
              <w:right w:val="single" w:color="auto" w:sz="4" w:space="0"/>
            </w:tcBorders>
            <w:shd w:val="clear" w:color="auto" w:fill="auto"/>
            <w:vAlign w:val="center"/>
          </w:tcPr>
          <w:p w14:paraId="4BCA7785">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bCs/>
                <w:kern w:val="2"/>
                <w:szCs w:val="24"/>
                <w:highlight w:val="none"/>
                <w:lang w:bidi="ar"/>
              </w:rPr>
              <w:t>商务条款</w:t>
            </w:r>
          </w:p>
        </w:tc>
        <w:tc>
          <w:tcPr>
            <w:tcW w:w="1465" w:type="pct"/>
            <w:tcBorders>
              <w:top w:val="single" w:color="auto" w:sz="4" w:space="0"/>
              <w:left w:val="nil"/>
              <w:bottom w:val="single" w:color="auto" w:sz="4" w:space="0"/>
              <w:right w:val="single" w:color="auto" w:sz="4" w:space="0"/>
            </w:tcBorders>
            <w:shd w:val="clear" w:color="auto" w:fill="auto"/>
            <w:vAlign w:val="center"/>
          </w:tcPr>
          <w:p w14:paraId="31580DCC">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招标文件要求</w:t>
            </w:r>
          </w:p>
        </w:tc>
        <w:tc>
          <w:tcPr>
            <w:tcW w:w="1510" w:type="pct"/>
            <w:tcBorders>
              <w:top w:val="single" w:color="auto" w:sz="4" w:space="0"/>
              <w:left w:val="nil"/>
              <w:bottom w:val="single" w:color="auto" w:sz="4" w:space="0"/>
              <w:right w:val="single" w:color="auto" w:sz="4" w:space="0"/>
            </w:tcBorders>
            <w:shd w:val="clear" w:color="auto" w:fill="auto"/>
            <w:vAlign w:val="center"/>
          </w:tcPr>
          <w:p w14:paraId="1A1614D7">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投标人承诺</w:t>
            </w:r>
          </w:p>
        </w:tc>
        <w:tc>
          <w:tcPr>
            <w:tcW w:w="475" w:type="pct"/>
            <w:tcBorders>
              <w:top w:val="single" w:color="auto" w:sz="4" w:space="0"/>
              <w:left w:val="nil"/>
              <w:bottom w:val="single" w:color="auto" w:sz="4" w:space="0"/>
              <w:right w:val="single" w:color="auto" w:sz="4" w:space="0"/>
            </w:tcBorders>
            <w:shd w:val="clear" w:color="auto" w:fill="auto"/>
            <w:vAlign w:val="center"/>
          </w:tcPr>
          <w:p w14:paraId="5C2A4BC1">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偏离说明</w:t>
            </w:r>
          </w:p>
        </w:tc>
      </w:tr>
      <w:tr w14:paraId="549B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38AB70C1">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1</w:t>
            </w:r>
          </w:p>
        </w:tc>
        <w:tc>
          <w:tcPr>
            <w:tcW w:w="1916" w:type="dxa"/>
            <w:tcBorders>
              <w:top w:val="single" w:color="auto" w:sz="4" w:space="0"/>
              <w:left w:val="nil"/>
              <w:bottom w:val="single" w:color="auto" w:sz="4" w:space="0"/>
              <w:right w:val="single" w:color="auto" w:sz="4" w:space="0"/>
            </w:tcBorders>
            <w:shd w:val="clear" w:color="auto" w:fill="auto"/>
            <w:vAlign w:val="center"/>
          </w:tcPr>
          <w:p w14:paraId="24115DC1">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14:textFill>
                  <w14:solidFill>
                    <w14:schemeClr w14:val="tx1"/>
                  </w14:solidFill>
                </w14:textFill>
              </w:rPr>
              <w:t>付款方式</w:t>
            </w:r>
          </w:p>
        </w:tc>
        <w:tc>
          <w:tcPr>
            <w:tcW w:w="1465" w:type="pct"/>
            <w:tcBorders>
              <w:top w:val="single" w:color="auto" w:sz="4" w:space="0"/>
              <w:left w:val="nil"/>
              <w:bottom w:val="single" w:color="auto" w:sz="4" w:space="0"/>
              <w:right w:val="single" w:color="auto" w:sz="4" w:space="0"/>
            </w:tcBorders>
            <w:shd w:val="clear" w:color="auto" w:fill="auto"/>
            <w:vAlign w:val="center"/>
          </w:tcPr>
          <w:p w14:paraId="49466D16">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DD3B2C5">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2D7DF7E0">
            <w:pPr>
              <w:jc w:val="center"/>
              <w:rPr>
                <w:rFonts w:hint="eastAsia" w:ascii="宋体" w:hAnsi="宋体" w:eastAsia="宋体"/>
                <w:sz w:val="24"/>
                <w:szCs w:val="24"/>
                <w:highlight w:val="none"/>
              </w:rPr>
            </w:pPr>
          </w:p>
        </w:tc>
      </w:tr>
      <w:tr w14:paraId="39D9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5AF6ED1D">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2</w:t>
            </w:r>
          </w:p>
        </w:tc>
        <w:tc>
          <w:tcPr>
            <w:tcW w:w="1916" w:type="dxa"/>
            <w:tcBorders>
              <w:top w:val="single" w:color="auto" w:sz="4" w:space="0"/>
              <w:left w:val="nil"/>
              <w:bottom w:val="single" w:color="auto" w:sz="4" w:space="0"/>
              <w:right w:val="single" w:color="auto" w:sz="4" w:space="0"/>
            </w:tcBorders>
            <w:shd w:val="clear" w:color="auto" w:fill="auto"/>
            <w:vAlign w:val="center"/>
          </w:tcPr>
          <w:p w14:paraId="4DF35B2F">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lang w:val="en-US" w:eastAsia="zh-CN"/>
                <w14:textFill>
                  <w14:solidFill>
                    <w14:schemeClr w14:val="tx1"/>
                  </w14:solidFill>
                </w14:textFill>
              </w:rPr>
              <w:t>服务</w:t>
            </w:r>
            <w:r>
              <w:rPr>
                <w:rFonts w:hint="eastAsia" w:ascii="宋体" w:hAnsi="宋体" w:eastAsia="宋体"/>
                <w:b w:val="0"/>
                <w:color w:val="000000" w:themeColor="text1"/>
                <w:sz w:val="24"/>
                <w14:textFill>
                  <w14:solidFill>
                    <w14:schemeClr w14:val="tx1"/>
                  </w14:solidFill>
                </w14:textFill>
              </w:rPr>
              <w:t>地点</w:t>
            </w:r>
          </w:p>
        </w:tc>
        <w:tc>
          <w:tcPr>
            <w:tcW w:w="1465" w:type="pct"/>
            <w:tcBorders>
              <w:top w:val="single" w:color="auto" w:sz="4" w:space="0"/>
              <w:left w:val="nil"/>
              <w:bottom w:val="single" w:color="auto" w:sz="4" w:space="0"/>
              <w:right w:val="single" w:color="auto" w:sz="4" w:space="0"/>
            </w:tcBorders>
            <w:shd w:val="clear" w:color="auto" w:fill="auto"/>
            <w:vAlign w:val="center"/>
          </w:tcPr>
          <w:p w14:paraId="0BFDF843">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929E22E">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46D6CF42">
            <w:pPr>
              <w:jc w:val="center"/>
              <w:rPr>
                <w:rFonts w:hint="eastAsia" w:ascii="宋体" w:hAnsi="宋体" w:eastAsia="宋体"/>
                <w:sz w:val="24"/>
                <w:szCs w:val="24"/>
                <w:highlight w:val="none"/>
              </w:rPr>
            </w:pPr>
          </w:p>
        </w:tc>
      </w:tr>
      <w:tr w14:paraId="764B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A7C6223">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3</w:t>
            </w:r>
          </w:p>
        </w:tc>
        <w:tc>
          <w:tcPr>
            <w:tcW w:w="1916" w:type="dxa"/>
            <w:tcBorders>
              <w:top w:val="single" w:color="auto" w:sz="4" w:space="0"/>
              <w:left w:val="nil"/>
              <w:bottom w:val="single" w:color="auto" w:sz="4" w:space="0"/>
              <w:right w:val="single" w:color="auto" w:sz="4" w:space="0"/>
            </w:tcBorders>
            <w:shd w:val="clear" w:color="auto" w:fill="auto"/>
            <w:vAlign w:val="center"/>
          </w:tcPr>
          <w:p w14:paraId="10CDC537">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highlight w:val="none"/>
                <w:lang w:val="en-US" w:eastAsia="zh-CN"/>
                <w14:textFill>
                  <w14:solidFill>
                    <w14:schemeClr w14:val="tx1"/>
                  </w14:solidFill>
                </w14:textFill>
              </w:rPr>
              <w:t>服务</w:t>
            </w:r>
            <w:r>
              <w:rPr>
                <w:rFonts w:hint="eastAsia" w:ascii="宋体" w:hAnsi="宋体" w:eastAsia="宋体"/>
                <w:b w:val="0"/>
                <w:color w:val="000000" w:themeColor="text1"/>
                <w:sz w:val="24"/>
                <w:highlight w:val="none"/>
                <w14:textFill>
                  <w14:solidFill>
                    <w14:schemeClr w14:val="tx1"/>
                  </w14:solidFill>
                </w14:textFill>
              </w:rPr>
              <w:t>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4113830E">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4979325">
            <w:pPr>
              <w:pStyle w:val="21"/>
              <w:spacing w:before="0" w:beforeAutospacing="0" w:after="0" w:afterAutospacing="0"/>
              <w:jc w:val="center"/>
              <w:rPr>
                <w:rFonts w:hint="eastAsia" w:ascii="宋体" w:hAnsi="宋体" w:eastAsia="宋体" w:cs="Arial"/>
                <w:kern w:val="2"/>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65F4AADC">
            <w:pPr>
              <w:jc w:val="center"/>
              <w:rPr>
                <w:rFonts w:hint="eastAsia" w:ascii="宋体" w:hAnsi="宋体" w:eastAsia="宋体"/>
                <w:sz w:val="24"/>
                <w:szCs w:val="24"/>
                <w:highlight w:val="none"/>
              </w:rPr>
            </w:pPr>
          </w:p>
        </w:tc>
      </w:tr>
      <w:tr w14:paraId="2195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CF1E6C8">
            <w:pPr>
              <w:jc w:val="center"/>
              <w:rPr>
                <w:rFonts w:hint="eastAsia" w:ascii="宋体" w:hAnsi="宋体" w:eastAsia="宋体"/>
                <w:sz w:val="24"/>
                <w:szCs w:val="24"/>
                <w:highlight w:val="none"/>
                <w:lang w:eastAsia="zh-CN"/>
              </w:rPr>
            </w:pPr>
            <w:r>
              <w:rPr>
                <w:rFonts w:hint="eastAsia" w:ascii="宋体" w:hAnsi="宋体" w:eastAsia="宋体" w:cs="宋体"/>
                <w:sz w:val="24"/>
                <w:szCs w:val="24"/>
                <w:highlight w:val="none"/>
                <w:lang w:val="en-US" w:eastAsia="zh-CN" w:bidi="ar"/>
              </w:rPr>
              <w:t>4</w:t>
            </w:r>
          </w:p>
        </w:tc>
        <w:tc>
          <w:tcPr>
            <w:tcW w:w="1916" w:type="dxa"/>
            <w:tcBorders>
              <w:top w:val="single" w:color="auto" w:sz="4" w:space="0"/>
              <w:left w:val="nil"/>
              <w:bottom w:val="single" w:color="auto" w:sz="4" w:space="0"/>
              <w:right w:val="single" w:color="auto" w:sz="4" w:space="0"/>
            </w:tcBorders>
            <w:shd w:val="clear" w:color="auto" w:fill="auto"/>
            <w:vAlign w:val="center"/>
          </w:tcPr>
          <w:p w14:paraId="572F57F4">
            <w:pPr>
              <w:pStyle w:val="44"/>
              <w:widowControl w:val="0"/>
              <w:spacing w:before="0" w:beforeAutospacing="0" w:after="0" w:afterAutospacing="0"/>
              <w:ind w:firstLine="43" w:firstLineChars="0"/>
              <w:rPr>
                <w:rFonts w:hint="eastAsia" w:ascii="宋体" w:hAnsi="宋体" w:eastAsia="宋体"/>
                <w:sz w:val="24"/>
                <w:szCs w:val="24"/>
                <w:highlight w:val="none"/>
              </w:rPr>
            </w:pPr>
            <w:r>
              <w:rPr>
                <w:rFonts w:hint="eastAsia" w:ascii="宋体" w:hAnsi="宋体" w:eastAsia="宋体"/>
                <w:b w:val="0"/>
                <w:color w:val="000000" w:themeColor="text1"/>
                <w:sz w:val="24"/>
                <w:highlight w:val="none"/>
                <w14:textFill>
                  <w14:solidFill>
                    <w14:schemeClr w14:val="tx1"/>
                  </w14:solidFill>
                </w14:textFill>
              </w:rPr>
              <w:t>质保期限</w:t>
            </w:r>
          </w:p>
        </w:tc>
        <w:tc>
          <w:tcPr>
            <w:tcW w:w="1465" w:type="pct"/>
            <w:tcBorders>
              <w:top w:val="single" w:color="auto" w:sz="4" w:space="0"/>
              <w:left w:val="nil"/>
              <w:bottom w:val="single" w:color="auto" w:sz="4" w:space="0"/>
              <w:right w:val="single" w:color="auto" w:sz="4" w:space="0"/>
            </w:tcBorders>
            <w:shd w:val="clear" w:color="auto" w:fill="auto"/>
            <w:vAlign w:val="center"/>
          </w:tcPr>
          <w:p w14:paraId="4E4E088D">
            <w:pPr>
              <w:jc w:val="center"/>
              <w:rPr>
                <w:rFonts w:hint="eastAsia" w:ascii="宋体" w:hAnsi="宋体" w:eastAsia="宋体"/>
                <w:sz w:val="24"/>
                <w:szCs w:val="24"/>
                <w:highlight w:val="none"/>
              </w:rPr>
            </w:pPr>
          </w:p>
        </w:tc>
        <w:tc>
          <w:tcPr>
            <w:tcW w:w="1510" w:type="pct"/>
            <w:tcBorders>
              <w:top w:val="single" w:color="auto" w:sz="4" w:space="0"/>
              <w:left w:val="nil"/>
              <w:bottom w:val="single" w:color="auto" w:sz="4" w:space="0"/>
              <w:right w:val="single" w:color="auto" w:sz="4" w:space="0"/>
            </w:tcBorders>
            <w:shd w:val="clear" w:color="auto" w:fill="auto"/>
            <w:vAlign w:val="center"/>
          </w:tcPr>
          <w:p w14:paraId="22AAEC0E">
            <w:pPr>
              <w:jc w:val="center"/>
              <w:rPr>
                <w:rFonts w:hint="eastAsia" w:ascii="宋体" w:hAnsi="宋体" w:eastAsia="宋体"/>
                <w:sz w:val="24"/>
                <w:szCs w:val="24"/>
                <w:highlight w:val="none"/>
              </w:rPr>
            </w:pPr>
          </w:p>
        </w:tc>
        <w:tc>
          <w:tcPr>
            <w:tcW w:w="475" w:type="pct"/>
            <w:tcBorders>
              <w:top w:val="single" w:color="auto" w:sz="4" w:space="0"/>
              <w:left w:val="nil"/>
              <w:bottom w:val="single" w:color="auto" w:sz="4" w:space="0"/>
              <w:right w:val="single" w:color="auto" w:sz="4" w:space="0"/>
            </w:tcBorders>
            <w:shd w:val="clear" w:color="auto" w:fill="auto"/>
            <w:vAlign w:val="center"/>
          </w:tcPr>
          <w:p w14:paraId="122E9EF8">
            <w:pPr>
              <w:jc w:val="center"/>
              <w:rPr>
                <w:rFonts w:hint="eastAsia" w:ascii="宋体" w:hAnsi="宋体" w:eastAsia="宋体"/>
                <w:sz w:val="24"/>
                <w:szCs w:val="24"/>
                <w:highlight w:val="none"/>
              </w:rPr>
            </w:pPr>
          </w:p>
        </w:tc>
      </w:tr>
    </w:tbl>
    <w:p w14:paraId="76DDC33E">
      <w:pPr>
        <w:spacing w:line="360" w:lineRule="auto"/>
        <w:ind w:firstLine="435"/>
        <w:rPr>
          <w:rFonts w:hint="eastAsia" w:ascii="宋体" w:hAnsi="宋体" w:eastAsia="宋体"/>
          <w:b/>
          <w:sz w:val="24"/>
          <w:szCs w:val="24"/>
          <w:highlight w:val="none"/>
        </w:rPr>
      </w:pPr>
      <w:r>
        <w:rPr>
          <w:rFonts w:hint="eastAsia" w:ascii="宋体" w:hAnsi="宋体" w:eastAsia="宋体" w:cs="宋体"/>
          <w:b/>
          <w:sz w:val="24"/>
          <w:szCs w:val="24"/>
          <w:highlight w:val="none"/>
          <w:lang w:bidi="ar"/>
        </w:rPr>
        <w:t>2.技术响应表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3"/>
        <w:gridCol w:w="855"/>
      </w:tblGrid>
      <w:tr w14:paraId="05B9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498130A">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序号</w:t>
            </w:r>
          </w:p>
        </w:tc>
        <w:tc>
          <w:tcPr>
            <w:tcW w:w="915" w:type="pct"/>
            <w:tcBorders>
              <w:top w:val="single" w:color="auto" w:sz="4" w:space="0"/>
              <w:left w:val="nil"/>
              <w:bottom w:val="single" w:color="auto" w:sz="4" w:space="0"/>
              <w:right w:val="single" w:color="auto" w:sz="4" w:space="0"/>
            </w:tcBorders>
            <w:shd w:val="clear" w:color="auto" w:fill="auto"/>
            <w:vAlign w:val="center"/>
          </w:tcPr>
          <w:p w14:paraId="491F47AA">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bCs/>
                <w:kern w:val="2"/>
                <w:szCs w:val="24"/>
                <w:highlight w:val="none"/>
                <w:lang w:bidi="ar"/>
              </w:rPr>
              <w:t>货物名称</w:t>
            </w:r>
          </w:p>
        </w:tc>
        <w:tc>
          <w:tcPr>
            <w:tcW w:w="1680" w:type="pct"/>
            <w:tcBorders>
              <w:top w:val="single" w:color="auto" w:sz="4" w:space="0"/>
              <w:left w:val="nil"/>
              <w:bottom w:val="single" w:color="auto" w:sz="4" w:space="0"/>
              <w:right w:val="single" w:color="auto" w:sz="4" w:space="0"/>
            </w:tcBorders>
            <w:shd w:val="clear" w:color="auto" w:fill="auto"/>
            <w:vAlign w:val="center"/>
          </w:tcPr>
          <w:p w14:paraId="500D2737">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招标文件规定的技术要求</w:t>
            </w:r>
          </w:p>
        </w:tc>
        <w:tc>
          <w:tcPr>
            <w:tcW w:w="1456" w:type="pct"/>
            <w:tcBorders>
              <w:top w:val="single" w:color="auto" w:sz="4" w:space="0"/>
              <w:left w:val="nil"/>
              <w:bottom w:val="single" w:color="auto" w:sz="4" w:space="0"/>
              <w:right w:val="single" w:color="auto" w:sz="4" w:space="0"/>
            </w:tcBorders>
            <w:shd w:val="clear" w:color="auto" w:fill="auto"/>
            <w:vAlign w:val="center"/>
          </w:tcPr>
          <w:p w14:paraId="23A63662">
            <w:pPr>
              <w:pStyle w:val="21"/>
              <w:spacing w:before="0" w:beforeAutospacing="0" w:after="0" w:afterAutospacing="0"/>
              <w:jc w:val="center"/>
              <w:rPr>
                <w:rFonts w:hint="default" w:ascii="宋体" w:hAnsi="宋体" w:eastAsia="宋体" w:cs="Wingdings"/>
                <w:b/>
                <w:kern w:val="2"/>
                <w:szCs w:val="24"/>
                <w:highlight w:val="none"/>
                <w:lang w:val="en-US" w:eastAsia="zh-CN"/>
              </w:rPr>
            </w:pPr>
            <w:r>
              <w:rPr>
                <w:rFonts w:hint="eastAsia" w:ascii="宋体" w:hAnsi="宋体" w:eastAsia="宋体" w:cs="宋体"/>
                <w:b/>
                <w:kern w:val="2"/>
                <w:szCs w:val="24"/>
                <w:highlight w:val="none"/>
                <w:lang w:bidi="ar"/>
              </w:rPr>
              <w:t>所投产品的品牌、型号及</w:t>
            </w:r>
            <w:r>
              <w:rPr>
                <w:rFonts w:hint="eastAsia" w:ascii="宋体" w:hAnsi="宋体" w:eastAsia="宋体" w:cs="宋体"/>
                <w:b/>
                <w:kern w:val="2"/>
                <w:szCs w:val="24"/>
                <w:highlight w:val="none"/>
                <w:lang w:val="en-US" w:eastAsia="zh-CN" w:bidi="ar"/>
              </w:rPr>
              <w:t>对招标文件</w:t>
            </w:r>
            <w:r>
              <w:rPr>
                <w:rFonts w:hint="eastAsia" w:ascii="宋体" w:hAnsi="宋体" w:eastAsia="宋体" w:cs="宋体"/>
                <w:b/>
                <w:kern w:val="2"/>
                <w:szCs w:val="24"/>
                <w:highlight w:val="none"/>
                <w:lang w:bidi="ar"/>
              </w:rPr>
              <w:t>技术</w:t>
            </w:r>
            <w:r>
              <w:rPr>
                <w:rFonts w:hint="eastAsia" w:ascii="宋体" w:hAnsi="宋体" w:eastAsia="宋体" w:cs="宋体"/>
                <w:b/>
                <w:kern w:val="2"/>
                <w:szCs w:val="24"/>
                <w:highlight w:val="none"/>
                <w:lang w:val="en-US" w:eastAsia="zh-CN" w:bidi="ar"/>
              </w:rPr>
              <w:t>要求的响应</w:t>
            </w:r>
          </w:p>
        </w:tc>
        <w:tc>
          <w:tcPr>
            <w:tcW w:w="501" w:type="pct"/>
            <w:tcBorders>
              <w:top w:val="single" w:color="auto" w:sz="4" w:space="0"/>
              <w:left w:val="nil"/>
              <w:bottom w:val="single" w:color="auto" w:sz="4" w:space="0"/>
              <w:right w:val="single" w:color="auto" w:sz="4" w:space="0"/>
            </w:tcBorders>
            <w:shd w:val="clear" w:color="auto" w:fill="auto"/>
            <w:vAlign w:val="center"/>
          </w:tcPr>
          <w:p w14:paraId="3A81196E">
            <w:pPr>
              <w:pStyle w:val="21"/>
              <w:spacing w:before="0" w:beforeAutospacing="0" w:after="0" w:afterAutospacing="0"/>
              <w:jc w:val="center"/>
              <w:rPr>
                <w:rFonts w:hint="eastAsia" w:ascii="宋体" w:hAnsi="宋体" w:eastAsia="宋体" w:cs="Wingdings"/>
                <w:b/>
                <w:kern w:val="2"/>
                <w:szCs w:val="24"/>
                <w:highlight w:val="none"/>
              </w:rPr>
            </w:pPr>
            <w:r>
              <w:rPr>
                <w:rFonts w:hint="eastAsia" w:ascii="宋体" w:hAnsi="宋体" w:eastAsia="宋体" w:cs="宋体"/>
                <w:b/>
                <w:kern w:val="2"/>
                <w:szCs w:val="24"/>
                <w:highlight w:val="none"/>
                <w:lang w:bidi="ar"/>
              </w:rPr>
              <w:t>偏离说明</w:t>
            </w:r>
          </w:p>
        </w:tc>
      </w:tr>
      <w:tr w14:paraId="7EC0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43A980B">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1</w:t>
            </w:r>
          </w:p>
        </w:tc>
        <w:tc>
          <w:tcPr>
            <w:tcW w:w="915" w:type="pct"/>
            <w:tcBorders>
              <w:top w:val="single" w:color="auto" w:sz="4" w:space="0"/>
              <w:left w:val="nil"/>
              <w:bottom w:val="single" w:color="auto" w:sz="4" w:space="0"/>
              <w:right w:val="single" w:color="auto" w:sz="4" w:space="0"/>
            </w:tcBorders>
            <w:shd w:val="clear" w:color="auto" w:fill="auto"/>
            <w:vAlign w:val="center"/>
          </w:tcPr>
          <w:p w14:paraId="46E7B2E4">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41C6A6F3">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7CFF951C">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74085565">
            <w:pPr>
              <w:jc w:val="center"/>
              <w:rPr>
                <w:rFonts w:hint="eastAsia" w:ascii="宋体" w:hAnsi="宋体" w:eastAsia="宋体"/>
                <w:sz w:val="24"/>
                <w:szCs w:val="24"/>
                <w:highlight w:val="none"/>
              </w:rPr>
            </w:pPr>
          </w:p>
        </w:tc>
      </w:tr>
      <w:tr w14:paraId="3034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BFECE1D">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2</w:t>
            </w:r>
          </w:p>
        </w:tc>
        <w:tc>
          <w:tcPr>
            <w:tcW w:w="915" w:type="pct"/>
            <w:tcBorders>
              <w:top w:val="single" w:color="auto" w:sz="4" w:space="0"/>
              <w:left w:val="nil"/>
              <w:bottom w:val="single" w:color="auto" w:sz="4" w:space="0"/>
              <w:right w:val="single" w:color="auto" w:sz="4" w:space="0"/>
            </w:tcBorders>
            <w:shd w:val="clear" w:color="auto" w:fill="auto"/>
            <w:vAlign w:val="center"/>
          </w:tcPr>
          <w:p w14:paraId="093605AE">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7884A133">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13291C30">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2B2B1E41">
            <w:pPr>
              <w:jc w:val="center"/>
              <w:rPr>
                <w:rFonts w:hint="eastAsia" w:ascii="宋体" w:hAnsi="宋体" w:eastAsia="宋体"/>
                <w:sz w:val="24"/>
                <w:szCs w:val="24"/>
                <w:highlight w:val="none"/>
              </w:rPr>
            </w:pPr>
          </w:p>
        </w:tc>
      </w:tr>
      <w:tr w14:paraId="4E97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3AD3723">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3</w:t>
            </w:r>
          </w:p>
        </w:tc>
        <w:tc>
          <w:tcPr>
            <w:tcW w:w="915" w:type="pct"/>
            <w:tcBorders>
              <w:top w:val="single" w:color="auto" w:sz="4" w:space="0"/>
              <w:left w:val="nil"/>
              <w:bottom w:val="single" w:color="auto" w:sz="4" w:space="0"/>
              <w:right w:val="single" w:color="auto" w:sz="4" w:space="0"/>
            </w:tcBorders>
            <w:shd w:val="clear" w:color="auto" w:fill="auto"/>
            <w:vAlign w:val="center"/>
          </w:tcPr>
          <w:p w14:paraId="07292444">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061036B">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34CCFAFC">
            <w:pPr>
              <w:pStyle w:val="21"/>
              <w:spacing w:before="0" w:beforeAutospacing="0" w:after="0" w:afterAutospacing="0"/>
              <w:jc w:val="center"/>
              <w:rPr>
                <w:rFonts w:hint="eastAsia" w:ascii="宋体" w:hAnsi="宋体" w:eastAsia="宋体" w:cs="Arial"/>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36C56A97">
            <w:pPr>
              <w:jc w:val="center"/>
              <w:rPr>
                <w:rFonts w:hint="eastAsia" w:ascii="宋体" w:hAnsi="宋体" w:eastAsia="宋体"/>
                <w:sz w:val="24"/>
                <w:szCs w:val="24"/>
                <w:highlight w:val="none"/>
              </w:rPr>
            </w:pPr>
          </w:p>
        </w:tc>
      </w:tr>
      <w:tr w14:paraId="0E16A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2579F9B">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4</w:t>
            </w:r>
          </w:p>
        </w:tc>
        <w:tc>
          <w:tcPr>
            <w:tcW w:w="915" w:type="pct"/>
            <w:tcBorders>
              <w:top w:val="single" w:color="auto" w:sz="4" w:space="0"/>
              <w:left w:val="nil"/>
              <w:bottom w:val="single" w:color="auto" w:sz="4" w:space="0"/>
              <w:right w:val="single" w:color="auto" w:sz="4" w:space="0"/>
            </w:tcBorders>
            <w:shd w:val="clear" w:color="auto" w:fill="auto"/>
            <w:vAlign w:val="center"/>
          </w:tcPr>
          <w:p w14:paraId="4692B38E">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04FF3BE9">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4EAA0DA5">
            <w:pPr>
              <w:pStyle w:val="21"/>
              <w:spacing w:before="0" w:beforeAutospacing="0" w:after="0" w:afterAutospacing="0"/>
              <w:jc w:val="center"/>
              <w:rPr>
                <w:rFonts w:hint="eastAsia" w:ascii="宋体" w:hAnsi="宋体" w:eastAsia="宋体" w:cs="Arial"/>
                <w:kern w:val="2"/>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6CDA4F07">
            <w:pPr>
              <w:jc w:val="center"/>
              <w:rPr>
                <w:rFonts w:hint="eastAsia" w:ascii="宋体" w:hAnsi="宋体" w:eastAsia="宋体"/>
                <w:sz w:val="24"/>
                <w:szCs w:val="24"/>
                <w:highlight w:val="none"/>
              </w:rPr>
            </w:pPr>
          </w:p>
        </w:tc>
      </w:tr>
      <w:tr w14:paraId="5D60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1562E6A1">
            <w:pPr>
              <w:jc w:val="center"/>
              <w:rPr>
                <w:rFonts w:hint="eastAsia" w:ascii="宋体" w:hAnsi="宋体" w:eastAsia="宋体"/>
                <w:sz w:val="24"/>
                <w:szCs w:val="24"/>
                <w:highlight w:val="none"/>
              </w:rPr>
            </w:pPr>
            <w:r>
              <w:rPr>
                <w:rFonts w:hint="eastAsia" w:ascii="宋体" w:hAnsi="宋体" w:eastAsia="宋体" w:cs="宋体"/>
                <w:sz w:val="24"/>
                <w:szCs w:val="24"/>
                <w:highlight w:val="none"/>
                <w:lang w:bidi="ar"/>
              </w:rPr>
              <w:t>…</w:t>
            </w:r>
          </w:p>
        </w:tc>
        <w:tc>
          <w:tcPr>
            <w:tcW w:w="915" w:type="pct"/>
            <w:tcBorders>
              <w:top w:val="single" w:color="auto" w:sz="4" w:space="0"/>
              <w:left w:val="nil"/>
              <w:bottom w:val="single" w:color="auto" w:sz="4" w:space="0"/>
              <w:right w:val="single" w:color="auto" w:sz="4" w:space="0"/>
            </w:tcBorders>
            <w:shd w:val="clear" w:color="auto" w:fill="auto"/>
            <w:vAlign w:val="center"/>
          </w:tcPr>
          <w:p w14:paraId="0E366198">
            <w:pPr>
              <w:jc w:val="center"/>
              <w:rPr>
                <w:rFonts w:hint="eastAsia" w:ascii="宋体" w:hAnsi="宋体" w:eastAsia="宋体"/>
                <w:sz w:val="24"/>
                <w:szCs w:val="24"/>
                <w:highlight w:val="none"/>
              </w:rPr>
            </w:pPr>
          </w:p>
        </w:tc>
        <w:tc>
          <w:tcPr>
            <w:tcW w:w="1680" w:type="pct"/>
            <w:tcBorders>
              <w:top w:val="single" w:color="auto" w:sz="4" w:space="0"/>
              <w:left w:val="nil"/>
              <w:bottom w:val="single" w:color="auto" w:sz="4" w:space="0"/>
              <w:right w:val="single" w:color="auto" w:sz="4" w:space="0"/>
            </w:tcBorders>
            <w:shd w:val="clear" w:color="auto" w:fill="auto"/>
            <w:vAlign w:val="center"/>
          </w:tcPr>
          <w:p w14:paraId="574AB30C">
            <w:pPr>
              <w:jc w:val="center"/>
              <w:rPr>
                <w:rFonts w:hint="eastAsia" w:ascii="宋体" w:hAnsi="宋体" w:eastAsia="宋体"/>
                <w:sz w:val="24"/>
                <w:szCs w:val="24"/>
                <w:highlight w:val="none"/>
              </w:rPr>
            </w:pPr>
          </w:p>
        </w:tc>
        <w:tc>
          <w:tcPr>
            <w:tcW w:w="1456" w:type="pct"/>
            <w:tcBorders>
              <w:top w:val="single" w:color="auto" w:sz="4" w:space="0"/>
              <w:left w:val="nil"/>
              <w:bottom w:val="single" w:color="auto" w:sz="4" w:space="0"/>
              <w:right w:val="single" w:color="auto" w:sz="4" w:space="0"/>
            </w:tcBorders>
            <w:shd w:val="clear" w:color="auto" w:fill="auto"/>
            <w:vAlign w:val="center"/>
          </w:tcPr>
          <w:p w14:paraId="67C3C15A">
            <w:pPr>
              <w:jc w:val="center"/>
              <w:rPr>
                <w:rFonts w:hint="eastAsia" w:ascii="宋体" w:hAnsi="宋体" w:eastAsia="宋体"/>
                <w:sz w:val="24"/>
                <w:szCs w:val="24"/>
                <w:highlight w:val="none"/>
              </w:rPr>
            </w:pPr>
          </w:p>
        </w:tc>
        <w:tc>
          <w:tcPr>
            <w:tcW w:w="501" w:type="pct"/>
            <w:tcBorders>
              <w:top w:val="single" w:color="auto" w:sz="4" w:space="0"/>
              <w:left w:val="nil"/>
              <w:bottom w:val="single" w:color="auto" w:sz="4" w:space="0"/>
              <w:right w:val="single" w:color="auto" w:sz="4" w:space="0"/>
            </w:tcBorders>
            <w:shd w:val="clear" w:color="auto" w:fill="auto"/>
            <w:vAlign w:val="center"/>
          </w:tcPr>
          <w:p w14:paraId="5BDD8C69">
            <w:pPr>
              <w:jc w:val="center"/>
              <w:rPr>
                <w:rFonts w:hint="eastAsia" w:ascii="宋体" w:hAnsi="宋体" w:eastAsia="宋体"/>
                <w:sz w:val="24"/>
                <w:szCs w:val="24"/>
                <w:highlight w:val="none"/>
              </w:rPr>
            </w:pPr>
          </w:p>
        </w:tc>
      </w:tr>
    </w:tbl>
    <w:p w14:paraId="5888BC24">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投标人盖章：</w:t>
      </w:r>
      <w:r>
        <w:rPr>
          <w:rFonts w:hint="eastAsia" w:ascii="宋体" w:hAnsi="宋体" w:eastAsia="宋体"/>
          <w:sz w:val="24"/>
          <w:szCs w:val="24"/>
          <w:highlight w:val="none"/>
          <w:u w:val="single"/>
          <w:lang w:bidi="ar"/>
        </w:rPr>
        <w:t xml:space="preserve">             </w:t>
      </w:r>
    </w:p>
    <w:p w14:paraId="10A68899">
      <w:pPr>
        <w:spacing w:line="360" w:lineRule="auto"/>
        <w:ind w:firstLine="4800" w:firstLineChars="2000"/>
        <w:rPr>
          <w:rFonts w:hint="eastAsia" w:ascii="宋体" w:hAnsi="宋体" w:eastAsia="宋体"/>
          <w:sz w:val="24"/>
          <w:szCs w:val="24"/>
          <w:highlight w:val="none"/>
          <w:u w:val="single"/>
        </w:rPr>
      </w:pPr>
      <w:r>
        <w:rPr>
          <w:rFonts w:hint="eastAsia" w:ascii="宋体" w:hAnsi="宋体" w:eastAsia="宋体" w:cs="宋体"/>
          <w:sz w:val="24"/>
          <w:szCs w:val="24"/>
          <w:highlight w:val="none"/>
          <w:lang w:bidi="ar"/>
        </w:rPr>
        <w:t>日</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期：</w:t>
      </w:r>
      <w:r>
        <w:rPr>
          <w:rFonts w:hint="eastAsia" w:ascii="宋体" w:hAnsi="宋体" w:eastAsia="宋体"/>
          <w:sz w:val="24"/>
          <w:szCs w:val="24"/>
          <w:highlight w:val="none"/>
          <w:u w:val="single"/>
          <w:lang w:bidi="ar"/>
        </w:rPr>
        <w:t xml:space="preserve">             </w:t>
      </w:r>
    </w:p>
    <w:p w14:paraId="5FD30F0D">
      <w:pPr>
        <w:pStyle w:val="21"/>
        <w:spacing w:before="0" w:beforeAutospacing="0" w:after="0" w:afterAutospacing="0" w:line="360" w:lineRule="auto"/>
        <w:jc w:val="both"/>
        <w:rPr>
          <w:rFonts w:hint="eastAsia" w:ascii="宋体" w:hAnsi="宋体" w:eastAsia="宋体" w:cs="Arial"/>
          <w:kern w:val="2"/>
          <w:szCs w:val="24"/>
          <w:highlight w:val="none"/>
          <w:lang w:bidi="ar"/>
        </w:rPr>
      </w:pPr>
      <w:r>
        <w:rPr>
          <w:rFonts w:hint="eastAsia" w:ascii="宋体" w:hAnsi="宋体" w:eastAsia="宋体" w:cs="Arial"/>
          <w:kern w:val="2"/>
          <w:szCs w:val="24"/>
          <w:highlight w:val="none"/>
          <w:lang w:bidi="ar"/>
        </w:rPr>
        <w:br w:type="page"/>
      </w:r>
    </w:p>
    <w:p w14:paraId="5319D043">
      <w:pPr>
        <w:spacing w:line="360" w:lineRule="auto"/>
        <w:jc w:val="center"/>
        <w:outlineLvl w:val="1"/>
        <w:rPr>
          <w:rFonts w:hint="eastAsia" w:ascii="宋体" w:hAnsi="宋体" w:eastAsia="宋体"/>
          <w:b/>
          <w:sz w:val="24"/>
          <w:szCs w:val="24"/>
          <w:highlight w:val="none"/>
        </w:rPr>
      </w:pPr>
      <w:r>
        <w:rPr>
          <w:rFonts w:hint="eastAsia" w:ascii="宋体" w:hAnsi="宋体" w:eastAsia="宋体" w:cs="宋体"/>
          <w:b/>
          <w:sz w:val="24"/>
          <w:szCs w:val="24"/>
          <w:highlight w:val="none"/>
          <w:lang w:val="en-US" w:eastAsia="zh-CN" w:bidi="ar"/>
        </w:rPr>
        <w:t>七</w:t>
      </w:r>
      <w:r>
        <w:rPr>
          <w:rFonts w:hint="eastAsia" w:ascii="宋体" w:hAnsi="宋体" w:eastAsia="宋体" w:cs="宋体"/>
          <w:b/>
          <w:sz w:val="24"/>
          <w:szCs w:val="24"/>
          <w:highlight w:val="none"/>
          <w:lang w:bidi="ar"/>
        </w:rPr>
        <w:t>、诚信履约承诺函</w:t>
      </w:r>
    </w:p>
    <w:p w14:paraId="20578258">
      <w:pPr>
        <w:spacing w:line="360" w:lineRule="auto"/>
        <w:rPr>
          <w:rFonts w:hint="eastAsia" w:ascii="宋体" w:hAnsi="宋体" w:eastAsia="宋体"/>
          <w:b/>
          <w:bCs/>
          <w:sz w:val="24"/>
          <w:szCs w:val="24"/>
          <w:highlight w:val="none"/>
          <w:u w:val="single"/>
        </w:rPr>
      </w:pPr>
      <w:r>
        <w:rPr>
          <w:rFonts w:hint="eastAsia" w:ascii="宋体" w:hAnsi="宋体" w:eastAsia="宋体" w:cs="宋体"/>
          <w:b/>
          <w:bCs/>
          <w:sz w:val="24"/>
          <w:szCs w:val="24"/>
          <w:highlight w:val="none"/>
          <w:lang w:bidi="ar"/>
        </w:rPr>
        <w:t>致：采购人</w:t>
      </w:r>
    </w:p>
    <w:p w14:paraId="583021F0">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4992E853">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（1）中标或者成交后无正当理由拒不与采购人签订政府采购合同；</w:t>
      </w:r>
    </w:p>
    <w:p w14:paraId="23E7A6D3">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（2）未按照采购文件确定的事项签订政府采购合同；</w:t>
      </w:r>
    </w:p>
    <w:p w14:paraId="08F7AAFF">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（3）将政府采购合同转包；</w:t>
      </w:r>
    </w:p>
    <w:p w14:paraId="2067B0E9">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（4）提供假冒伪劣产品；</w:t>
      </w:r>
    </w:p>
    <w:p w14:paraId="44FA9DEE">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（5）擅自变更、中止或者终止政府采购合同。</w:t>
      </w:r>
    </w:p>
    <w:p w14:paraId="5D8991A5">
      <w:pPr>
        <w:spacing w:line="360" w:lineRule="auto"/>
        <w:ind w:firstLine="480" w:firstLineChars="2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1A54D26">
      <w:pPr>
        <w:spacing w:line="360" w:lineRule="auto"/>
        <w:rPr>
          <w:rFonts w:hint="eastAsia" w:ascii="宋体" w:hAnsi="宋体" w:eastAsia="宋体"/>
          <w:bCs/>
          <w:sz w:val="24"/>
          <w:szCs w:val="24"/>
          <w:highlight w:val="none"/>
        </w:rPr>
      </w:pPr>
      <w:r>
        <w:rPr>
          <w:rFonts w:hint="eastAsia" w:ascii="宋体" w:hAnsi="宋体" w:eastAsia="宋体"/>
          <w:bCs/>
          <w:sz w:val="24"/>
          <w:szCs w:val="24"/>
          <w:highlight w:val="none"/>
          <w:lang w:bidi="ar"/>
        </w:rPr>
        <w:t xml:space="preserve">   </w:t>
      </w:r>
      <w:r>
        <w:rPr>
          <w:rFonts w:hint="eastAsia" w:ascii="宋体" w:hAnsi="宋体" w:eastAsia="宋体" w:cs="宋体"/>
          <w:bCs/>
          <w:sz w:val="24"/>
          <w:szCs w:val="24"/>
          <w:highlight w:val="none"/>
          <w:lang w:bidi="ar"/>
        </w:rPr>
        <w:t>本承诺声明：</w:t>
      </w:r>
      <w:r>
        <w:rPr>
          <w:rFonts w:hint="eastAsia" w:ascii="宋体" w:hAnsi="宋体" w:eastAsia="宋体"/>
          <w:bCs/>
          <w:sz w:val="24"/>
          <w:szCs w:val="24"/>
          <w:highlight w:val="none"/>
          <w:u w:val="single"/>
          <w:lang w:bidi="ar"/>
        </w:rPr>
        <w:t xml:space="preserve"> </w:t>
      </w:r>
      <w:r>
        <w:rPr>
          <w:rFonts w:hint="eastAsia" w:ascii="宋体" w:hAnsi="宋体" w:eastAsia="宋体" w:cs="宋体"/>
          <w:bCs/>
          <w:sz w:val="24"/>
          <w:szCs w:val="24"/>
          <w:highlight w:val="none"/>
          <w:u w:val="single"/>
          <w:lang w:bidi="ar"/>
        </w:rPr>
        <w:t>（投标人名称）</w:t>
      </w:r>
      <w:r>
        <w:rPr>
          <w:rFonts w:hint="eastAsia" w:ascii="宋体" w:hAnsi="宋体" w:eastAsia="宋体"/>
          <w:bCs/>
          <w:sz w:val="24"/>
          <w:szCs w:val="24"/>
          <w:highlight w:val="none"/>
          <w:u w:val="single"/>
          <w:lang w:bidi="ar"/>
        </w:rPr>
        <w:t xml:space="preserve">  </w:t>
      </w:r>
      <w:r>
        <w:rPr>
          <w:rFonts w:hint="eastAsia" w:ascii="宋体" w:hAnsi="宋体" w:eastAsia="宋体" w:cs="宋体"/>
          <w:bCs/>
          <w:sz w:val="24"/>
          <w:szCs w:val="24"/>
          <w:highlight w:val="none"/>
          <w:lang w:bidi="ar"/>
        </w:rPr>
        <w:t>对本招标文件的相关要求完全响应。若有幸中标将严格按照以上承诺进行供货和服务。</w:t>
      </w:r>
    </w:p>
    <w:p w14:paraId="3D8D54FD">
      <w:pPr>
        <w:spacing w:line="360" w:lineRule="auto"/>
        <w:rPr>
          <w:rFonts w:hint="eastAsia" w:ascii="宋体" w:hAnsi="宋体" w:eastAsia="宋体"/>
          <w:bCs/>
          <w:sz w:val="24"/>
          <w:szCs w:val="24"/>
          <w:highlight w:val="none"/>
        </w:rPr>
      </w:pPr>
      <w:r>
        <w:rPr>
          <w:rFonts w:hint="eastAsia" w:ascii="宋体" w:hAnsi="宋体" w:eastAsia="宋体"/>
          <w:bCs/>
          <w:sz w:val="24"/>
          <w:szCs w:val="24"/>
          <w:highlight w:val="none"/>
          <w:lang w:bidi="ar"/>
        </w:rPr>
        <w:t xml:space="preserve"> </w:t>
      </w:r>
    </w:p>
    <w:p w14:paraId="720251DD">
      <w:pPr>
        <w:spacing w:line="360" w:lineRule="auto"/>
        <w:ind w:firstLine="4320" w:firstLineChars="1800"/>
        <w:rPr>
          <w:rFonts w:hint="eastAsia" w:ascii="宋体" w:hAnsi="宋体" w:eastAsia="宋体"/>
          <w:bCs/>
          <w:sz w:val="24"/>
          <w:szCs w:val="24"/>
          <w:highlight w:val="none"/>
          <w:u w:val="single"/>
        </w:rPr>
      </w:pPr>
      <w:r>
        <w:rPr>
          <w:rFonts w:hint="eastAsia" w:ascii="宋体" w:hAnsi="宋体" w:eastAsia="宋体" w:cs="宋体"/>
          <w:bCs/>
          <w:sz w:val="24"/>
          <w:szCs w:val="24"/>
          <w:highlight w:val="none"/>
          <w:lang w:bidi="ar"/>
        </w:rPr>
        <w:t>投标人盖章：</w:t>
      </w:r>
      <w:r>
        <w:rPr>
          <w:rFonts w:hint="eastAsia" w:ascii="宋体" w:hAnsi="宋体" w:eastAsia="宋体"/>
          <w:bCs/>
          <w:sz w:val="24"/>
          <w:szCs w:val="24"/>
          <w:highlight w:val="none"/>
          <w:u w:val="single"/>
          <w:lang w:bidi="ar"/>
        </w:rPr>
        <w:t xml:space="preserve">             </w:t>
      </w:r>
    </w:p>
    <w:p w14:paraId="5E0B7C6D">
      <w:pPr>
        <w:spacing w:line="360" w:lineRule="auto"/>
        <w:ind w:firstLine="4320" w:firstLineChars="1800"/>
        <w:rPr>
          <w:rFonts w:hint="eastAsia" w:ascii="宋体" w:hAnsi="宋体" w:eastAsia="宋体"/>
          <w:bCs/>
          <w:sz w:val="24"/>
          <w:szCs w:val="24"/>
          <w:highlight w:val="none"/>
        </w:rPr>
      </w:pPr>
      <w:r>
        <w:rPr>
          <w:rFonts w:hint="eastAsia" w:ascii="宋体" w:hAnsi="宋体" w:eastAsia="宋体" w:cs="宋体"/>
          <w:bCs/>
          <w:sz w:val="24"/>
          <w:szCs w:val="24"/>
          <w:highlight w:val="none"/>
          <w:lang w:bidi="ar"/>
        </w:rPr>
        <w:t>日</w:t>
      </w:r>
      <w:r>
        <w:rPr>
          <w:rFonts w:hint="eastAsia" w:ascii="宋体" w:hAnsi="宋体" w:eastAsia="宋体"/>
          <w:bCs/>
          <w:sz w:val="24"/>
          <w:szCs w:val="24"/>
          <w:highlight w:val="none"/>
          <w:lang w:bidi="ar"/>
        </w:rPr>
        <w:t xml:space="preserve">      </w:t>
      </w:r>
      <w:r>
        <w:rPr>
          <w:rFonts w:hint="eastAsia" w:ascii="宋体" w:hAnsi="宋体" w:eastAsia="宋体" w:cs="宋体"/>
          <w:bCs/>
          <w:sz w:val="24"/>
          <w:szCs w:val="24"/>
          <w:highlight w:val="none"/>
          <w:lang w:bidi="ar"/>
        </w:rPr>
        <w:t>期：</w:t>
      </w:r>
      <w:r>
        <w:rPr>
          <w:rFonts w:hint="eastAsia" w:ascii="宋体" w:hAnsi="宋体" w:eastAsia="宋体"/>
          <w:bCs/>
          <w:sz w:val="24"/>
          <w:szCs w:val="24"/>
          <w:highlight w:val="none"/>
          <w:u w:val="single"/>
          <w:lang w:bidi="ar"/>
        </w:rPr>
        <w:t xml:space="preserve">             </w:t>
      </w:r>
    </w:p>
    <w:p w14:paraId="79B14639">
      <w:pPr>
        <w:widowControl/>
        <w:jc w:val="left"/>
        <w:rPr>
          <w:rFonts w:hint="eastAsia" w:ascii="宋体" w:hAnsi="宋体" w:eastAsia="宋体" w:cs="Arial"/>
          <w:sz w:val="24"/>
          <w:szCs w:val="24"/>
          <w:highlight w:val="none"/>
        </w:rPr>
      </w:pPr>
      <w:r>
        <w:rPr>
          <w:rFonts w:hint="eastAsia" w:ascii="宋体" w:hAnsi="宋体" w:eastAsia="宋体" w:cs="Arial"/>
          <w:sz w:val="24"/>
          <w:szCs w:val="24"/>
          <w:highlight w:val="none"/>
          <w:lang w:bidi="ar"/>
        </w:rPr>
        <w:br w:type="page"/>
      </w:r>
    </w:p>
    <w:p w14:paraId="20DFF6BD">
      <w:pPr>
        <w:spacing w:line="360" w:lineRule="auto"/>
        <w:jc w:val="center"/>
        <w:outlineLvl w:val="1"/>
        <w:rPr>
          <w:rFonts w:hint="eastAsia" w:ascii="宋体" w:hAnsi="宋体" w:eastAsia="宋体"/>
          <w:b/>
          <w:sz w:val="24"/>
          <w:szCs w:val="24"/>
          <w:highlight w:val="none"/>
        </w:rPr>
      </w:pPr>
      <w:r>
        <w:rPr>
          <w:rFonts w:hint="eastAsia" w:ascii="宋体" w:hAnsi="宋体" w:eastAsia="宋体" w:cs="宋体"/>
          <w:b/>
          <w:sz w:val="24"/>
          <w:szCs w:val="24"/>
          <w:highlight w:val="none"/>
          <w:lang w:val="en-US" w:eastAsia="zh-CN" w:bidi="ar"/>
        </w:rPr>
        <w:t>八</w:t>
      </w:r>
      <w:r>
        <w:rPr>
          <w:rFonts w:hint="eastAsia" w:ascii="宋体" w:hAnsi="宋体" w:eastAsia="宋体" w:cs="宋体"/>
          <w:b/>
          <w:sz w:val="24"/>
          <w:szCs w:val="24"/>
          <w:highlight w:val="none"/>
          <w:lang w:bidi="ar"/>
        </w:rPr>
        <w:t>、诚信投标承诺书</w:t>
      </w:r>
    </w:p>
    <w:p w14:paraId="4B09783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本人以企业法定代表人的身份郑重承诺：</w:t>
      </w:r>
    </w:p>
    <w:p w14:paraId="4555C1B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一、将遵循公开、公正和诚实信用的原则自愿参加</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项目的投标，所提供的一切材料都是真实、有效、合法的；</w:t>
      </w:r>
    </w:p>
    <w:p w14:paraId="05F5DE0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4547EA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三、不出借、转让资质证书，不让他人挂靠投标，不以他人名义投标或者以其他方式弄虚作假，骗取中标；</w:t>
      </w:r>
    </w:p>
    <w:p w14:paraId="788A9B29">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四、不与其他投标人相互串通投标报价，不排挤其他投标人的公平竞争、损害招标人的合法权益；</w:t>
      </w:r>
    </w:p>
    <w:p w14:paraId="786F6854">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五、不与招标人、招标代理机构或其他投标人串通投标，损害国家利益、社会公共利益或者他人的合法权益；</w:t>
      </w:r>
    </w:p>
    <w:p w14:paraId="65026935">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-7项信誉要求，在此一并承诺我公司所属分公司、办事处等分支机构没有上述1-7项情形）</w:t>
      </w:r>
    </w:p>
    <w:p w14:paraId="288AF87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七、我公司没有下列情形：被滁州市县两级公管部门记入不良行为记录且在披露期内。</w:t>
      </w:r>
    </w:p>
    <w:p w14:paraId="766B8BE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八、严格遵守开标现场纪律，服从监管人员管理；</w:t>
      </w:r>
    </w:p>
    <w:p w14:paraId="16E31B7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九、保证中标后不转包，若有分包征得招标人同意；</w:t>
      </w:r>
    </w:p>
    <w:p w14:paraId="21A1C2D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十、保证中标之后，按照投标文件要求提供相关后续服务；</w:t>
      </w:r>
    </w:p>
    <w:p w14:paraId="55BD137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十一、保证企业及所属相关人员在本次投标中无行贿等犯罪行为；</w:t>
      </w:r>
    </w:p>
    <w:p w14:paraId="51A18AA2">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3D505C1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以上内容我已仔细阅读，本公司若有违反承诺内容的行为，自愿接受取消投标或者中标资格、记入不良行为记录等有关处理，愿意承担法律责任，给招标人造成损失的，依法承担赔偿责任。</w:t>
      </w:r>
    </w:p>
    <w:p w14:paraId="4EE9C621">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7962CFC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开户银行：                      基本账户：</w:t>
      </w:r>
    </w:p>
    <w:p w14:paraId="5ECA05C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投标单位（盖章）：              法定代表人（签字或盖章）：</w:t>
      </w:r>
    </w:p>
    <w:p w14:paraId="074D2A5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365F2806">
      <w:pPr>
        <w:spacing w:line="560" w:lineRule="exact"/>
        <w:jc w:val="right"/>
        <w:rPr>
          <w:rFonts w:hint="eastAsia" w:ascii="仿宋_GB2312" w:eastAsia="仿宋_GB2312" w:cs="仿宋_GB2312"/>
          <w:sz w:val="24"/>
          <w:szCs w:val="24"/>
          <w:highlight w:val="none"/>
        </w:rPr>
      </w:pPr>
      <w:r>
        <w:rPr>
          <w:rFonts w:hint="eastAsia" w:ascii="宋体" w:hAnsi="宋体" w:eastAsia="宋体" w:cs="宋体"/>
          <w:sz w:val="24"/>
          <w:szCs w:val="24"/>
          <w:highlight w:val="none"/>
          <w:lang w:bidi="ar"/>
        </w:rPr>
        <w:t>日期：</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年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 xml:space="preserve">月 </w:t>
      </w:r>
      <w:r>
        <w:rPr>
          <w:rFonts w:hint="eastAsia" w:ascii="宋体" w:hAnsi="宋体" w:eastAsia="宋体" w:cs="宋体"/>
          <w:sz w:val="24"/>
          <w:szCs w:val="24"/>
          <w:highlight w:val="none"/>
          <w:u w:val="single"/>
          <w:lang w:bidi="ar"/>
        </w:rPr>
        <w:t xml:space="preserve">            </w:t>
      </w:r>
      <w:r>
        <w:rPr>
          <w:rFonts w:hint="eastAsia" w:ascii="宋体" w:hAnsi="宋体" w:eastAsia="宋体" w:cs="宋体"/>
          <w:sz w:val="24"/>
          <w:szCs w:val="24"/>
          <w:highlight w:val="none"/>
          <w:lang w:bidi="ar"/>
        </w:rPr>
        <w:t>日</w:t>
      </w:r>
    </w:p>
    <w:p w14:paraId="7B8F39C7">
      <w:pPr>
        <w:spacing w:line="360" w:lineRule="auto"/>
        <w:jc w:val="center"/>
        <w:outlineLvl w:val="1"/>
        <w:rPr>
          <w:rFonts w:hint="eastAsia" w:ascii="宋体" w:hAnsi="宋体" w:eastAsia="宋体"/>
          <w:b/>
          <w:sz w:val="24"/>
          <w:szCs w:val="24"/>
          <w:highlight w:val="none"/>
        </w:rPr>
      </w:pPr>
      <w:r>
        <w:rPr>
          <w:rFonts w:hint="eastAsia" w:ascii="宋体" w:hAnsi="宋体" w:eastAsia="宋体"/>
          <w:b/>
          <w:sz w:val="24"/>
          <w:szCs w:val="24"/>
          <w:highlight w:val="none"/>
          <w:lang w:bidi="ar"/>
        </w:rPr>
        <w:t xml:space="preserve"> </w:t>
      </w:r>
    </w:p>
    <w:p w14:paraId="40A8920F">
      <w:pPr>
        <w:spacing w:line="360" w:lineRule="auto"/>
        <w:jc w:val="center"/>
        <w:outlineLvl w:val="1"/>
        <w:rPr>
          <w:rFonts w:hint="eastAsia" w:asciiTheme="minorEastAsia" w:hAnsiTheme="minorEastAsia" w:eastAsiaTheme="minorEastAsia"/>
          <w:b/>
          <w:sz w:val="24"/>
          <w:highlight w:val="none"/>
        </w:rPr>
      </w:pPr>
      <w:bookmarkStart w:id="211" w:name="_Toc32633"/>
      <w:bookmarkStart w:id="212" w:name="_Toc2683"/>
    </w:p>
    <w:p w14:paraId="1DF83293">
      <w:pPr>
        <w:spacing w:line="360" w:lineRule="auto"/>
        <w:jc w:val="center"/>
        <w:outlineLvl w:val="1"/>
        <w:rPr>
          <w:rFonts w:hint="eastAsia" w:asciiTheme="minorEastAsia" w:hAnsiTheme="minorEastAsia" w:eastAsiaTheme="minorEastAsia"/>
          <w:b/>
          <w:sz w:val="24"/>
          <w:highlight w:val="none"/>
        </w:rPr>
      </w:pPr>
    </w:p>
    <w:p w14:paraId="55B9052C">
      <w:pPr>
        <w:spacing w:line="360" w:lineRule="auto"/>
        <w:jc w:val="center"/>
        <w:outlineLvl w:val="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九</w:t>
      </w:r>
      <w:r>
        <w:rPr>
          <w:rFonts w:hint="eastAsia" w:asciiTheme="minorEastAsia" w:hAnsiTheme="minorEastAsia" w:eastAsiaTheme="minorEastAsia"/>
          <w:b/>
          <w:sz w:val="24"/>
          <w:highlight w:val="none"/>
        </w:rPr>
        <w:t>、其他相关证明材料</w:t>
      </w:r>
      <w:bookmarkEnd w:id="211"/>
      <w:bookmarkEnd w:id="212"/>
    </w:p>
    <w:p w14:paraId="360845A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提供符合投标邀请、采购需求及评标方法和标准规定的相关证明文件。</w:t>
      </w:r>
    </w:p>
    <w:p w14:paraId="7665A568">
      <w:pPr>
        <w:spacing w:line="360" w:lineRule="auto"/>
        <w:ind w:firstLine="480" w:firstLineChars="200"/>
        <w:rPr>
          <w:rFonts w:hint="eastAsia" w:asciiTheme="minorEastAsia" w:hAnsiTheme="minorEastAsia" w:eastAsiaTheme="minorEastAsia"/>
          <w:sz w:val="24"/>
          <w:highlight w:val="none"/>
        </w:rPr>
      </w:pPr>
    </w:p>
    <w:p w14:paraId="34878363">
      <w:pPr>
        <w:widowControl/>
        <w:jc w:val="left"/>
        <w:rPr>
          <w:rFonts w:hint="eastAsia" w:asciiTheme="minorEastAsia" w:hAnsiTheme="minorEastAsia" w:eastAsiaTheme="minorEastAsia"/>
          <w:sz w:val="24"/>
          <w:highlight w:val="none"/>
        </w:rPr>
      </w:pPr>
    </w:p>
    <w:bookmarkEnd w:id="205"/>
    <w:bookmarkEnd w:id="206"/>
    <w:p w14:paraId="4DC84980">
      <w:pPr>
        <w:widowControl/>
        <w:jc w:val="center"/>
        <w:rPr>
          <w:rFonts w:hint="eastAsia" w:ascii="宋体" w:hAnsi="宋体" w:eastAsia="宋体" w:cs="宋体"/>
          <w:b/>
          <w:sz w:val="24"/>
          <w:szCs w:val="24"/>
          <w:highlight w:val="none"/>
          <w:lang w:bidi="ar"/>
        </w:rPr>
      </w:pPr>
      <w:bookmarkStart w:id="213" w:name="_Toc18131"/>
      <w:bookmarkStart w:id="214" w:name="_Toc6435"/>
    </w:p>
    <w:p w14:paraId="17B899DB">
      <w:pPr>
        <w:widowControl/>
        <w:jc w:val="center"/>
        <w:rPr>
          <w:rFonts w:hint="eastAsia" w:ascii="宋体" w:hAnsi="宋体" w:eastAsia="宋体" w:cs="宋体"/>
          <w:b/>
          <w:sz w:val="24"/>
          <w:szCs w:val="24"/>
          <w:highlight w:val="none"/>
          <w:lang w:bidi="ar"/>
        </w:rPr>
      </w:pPr>
    </w:p>
    <w:p w14:paraId="1FF31EAF">
      <w:pPr>
        <w:widowControl/>
        <w:jc w:val="center"/>
        <w:rPr>
          <w:rFonts w:hint="eastAsia" w:ascii="宋体" w:hAnsi="宋体" w:eastAsia="宋体" w:cs="宋体"/>
          <w:b/>
          <w:sz w:val="24"/>
          <w:szCs w:val="24"/>
          <w:highlight w:val="none"/>
          <w:lang w:bidi="ar"/>
        </w:rPr>
      </w:pPr>
    </w:p>
    <w:p w14:paraId="4CECD4EC">
      <w:pPr>
        <w:widowControl/>
        <w:jc w:val="center"/>
        <w:rPr>
          <w:rFonts w:hint="eastAsia" w:ascii="宋体" w:hAnsi="宋体" w:eastAsia="宋体" w:cs="宋体"/>
          <w:b/>
          <w:sz w:val="24"/>
          <w:szCs w:val="24"/>
          <w:highlight w:val="none"/>
          <w:lang w:bidi="ar"/>
        </w:rPr>
      </w:pPr>
    </w:p>
    <w:p w14:paraId="34B1482A">
      <w:pPr>
        <w:widowControl/>
        <w:jc w:val="center"/>
        <w:rPr>
          <w:rFonts w:hint="eastAsia" w:ascii="宋体" w:hAnsi="宋体" w:eastAsia="宋体" w:cs="宋体"/>
          <w:b/>
          <w:sz w:val="24"/>
          <w:szCs w:val="24"/>
          <w:highlight w:val="none"/>
          <w:lang w:bidi="ar"/>
        </w:rPr>
      </w:pPr>
    </w:p>
    <w:p w14:paraId="102A325A">
      <w:pPr>
        <w:widowControl/>
        <w:jc w:val="center"/>
        <w:rPr>
          <w:rFonts w:hint="eastAsia" w:ascii="宋体" w:hAnsi="宋体" w:eastAsia="宋体" w:cs="宋体"/>
          <w:b/>
          <w:sz w:val="24"/>
          <w:szCs w:val="24"/>
          <w:highlight w:val="none"/>
          <w:lang w:bidi="ar"/>
        </w:rPr>
      </w:pPr>
    </w:p>
    <w:p w14:paraId="3DDA57EC">
      <w:pPr>
        <w:widowControl/>
        <w:jc w:val="center"/>
        <w:rPr>
          <w:rFonts w:hint="eastAsia" w:ascii="宋体" w:hAnsi="宋体" w:eastAsia="宋体" w:cs="宋体"/>
          <w:b/>
          <w:sz w:val="24"/>
          <w:szCs w:val="24"/>
          <w:highlight w:val="none"/>
          <w:lang w:bidi="ar"/>
        </w:rPr>
      </w:pPr>
    </w:p>
    <w:p w14:paraId="7C6BDF88">
      <w:pPr>
        <w:widowControl/>
        <w:jc w:val="center"/>
        <w:rPr>
          <w:rFonts w:hint="eastAsia" w:ascii="宋体" w:hAnsi="宋体" w:eastAsia="宋体" w:cs="宋体"/>
          <w:b/>
          <w:sz w:val="24"/>
          <w:szCs w:val="24"/>
          <w:highlight w:val="none"/>
          <w:lang w:bidi="ar"/>
        </w:rPr>
      </w:pPr>
    </w:p>
    <w:p w14:paraId="516B6CB3">
      <w:pPr>
        <w:widowControl/>
        <w:jc w:val="center"/>
        <w:rPr>
          <w:rFonts w:hint="eastAsia" w:ascii="宋体" w:hAnsi="宋体" w:eastAsia="宋体" w:cs="宋体"/>
          <w:b/>
          <w:sz w:val="24"/>
          <w:szCs w:val="24"/>
          <w:highlight w:val="none"/>
          <w:lang w:bidi="ar"/>
        </w:rPr>
      </w:pPr>
    </w:p>
    <w:p w14:paraId="2135F874">
      <w:pPr>
        <w:widowControl/>
        <w:jc w:val="center"/>
        <w:rPr>
          <w:rFonts w:hint="eastAsia" w:ascii="宋体" w:hAnsi="宋体" w:eastAsia="宋体" w:cs="宋体"/>
          <w:b/>
          <w:sz w:val="24"/>
          <w:szCs w:val="24"/>
          <w:highlight w:val="none"/>
          <w:lang w:bidi="ar"/>
        </w:rPr>
      </w:pPr>
    </w:p>
    <w:p w14:paraId="2E89436C">
      <w:pPr>
        <w:widowControl/>
        <w:jc w:val="center"/>
        <w:rPr>
          <w:rFonts w:hint="eastAsia" w:ascii="宋体" w:hAnsi="宋体" w:eastAsia="宋体" w:cs="宋体"/>
          <w:b/>
          <w:sz w:val="24"/>
          <w:szCs w:val="24"/>
          <w:highlight w:val="none"/>
          <w:lang w:bidi="ar"/>
        </w:rPr>
      </w:pPr>
    </w:p>
    <w:p w14:paraId="62EC526F">
      <w:pPr>
        <w:spacing w:line="360" w:lineRule="auto"/>
        <w:jc w:val="center"/>
        <w:outlineLvl w:val="0"/>
        <w:rPr>
          <w:rFonts w:hint="eastAsia" w:ascii="宋体" w:hAnsi="宋体" w:eastAsia="宋体"/>
          <w:b/>
          <w:bCs/>
          <w:sz w:val="28"/>
          <w:highlight w:val="none"/>
        </w:rPr>
      </w:pPr>
      <w:r>
        <w:rPr>
          <w:rFonts w:hint="eastAsia" w:asciiTheme="minorEastAsia" w:hAnsiTheme="minorEastAsia" w:eastAsiaTheme="minorEastAsia"/>
          <w:b/>
          <w:sz w:val="28"/>
          <w:highlight w:val="none"/>
        </w:rPr>
        <w:t>第七章</w:t>
      </w:r>
      <w:r>
        <w:rPr>
          <w:rFonts w:hint="eastAsia" w:ascii="宋体" w:hAnsi="宋体" w:eastAsia="宋体"/>
          <w:b/>
          <w:bCs/>
          <w:sz w:val="28"/>
          <w:highlight w:val="none"/>
        </w:rPr>
        <w:t xml:space="preserve">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213"/>
      <w:bookmarkEnd w:id="214"/>
    </w:p>
    <w:p w14:paraId="1F23621D">
      <w:pPr>
        <w:spacing w:line="360" w:lineRule="auto"/>
        <w:jc w:val="center"/>
        <w:outlineLvl w:val="1"/>
        <w:rPr>
          <w:rFonts w:hint="eastAsia" w:ascii="仿宋" w:hAnsi="仿宋" w:eastAsia="仿宋" w:cs="仿宋"/>
          <w:b/>
          <w:bCs/>
          <w:sz w:val="32"/>
          <w:szCs w:val="44"/>
          <w:highlight w:val="none"/>
        </w:rPr>
      </w:pPr>
      <w:bookmarkStart w:id="215" w:name="_Toc27489"/>
      <w:bookmarkStart w:id="216" w:name="_Toc27159"/>
      <w:r>
        <w:rPr>
          <w:rFonts w:hint="eastAsia" w:ascii="仿宋" w:hAnsi="仿宋" w:eastAsia="仿宋" w:cs="仿宋"/>
          <w:b/>
          <w:bCs/>
          <w:sz w:val="32"/>
          <w:szCs w:val="44"/>
          <w:highlight w:val="none"/>
        </w:rPr>
        <w:t>询问函范本</w:t>
      </w:r>
      <w:bookmarkEnd w:id="215"/>
      <w:bookmarkEnd w:id="216"/>
    </w:p>
    <w:p w14:paraId="2B77BAB1">
      <w:pPr>
        <w:adjustRightInd w:val="0"/>
        <w:snapToGrid w:val="0"/>
        <w:spacing w:line="360" w:lineRule="auto"/>
        <w:rPr>
          <w:rFonts w:hint="eastAsia"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（如为对采购文件或采购程序的询问或疑问，请按询问函范本格式进行提交）</w:t>
      </w:r>
    </w:p>
    <w:p w14:paraId="2B41EF12">
      <w:pPr>
        <w:adjustRightInd w:val="0"/>
        <w:snapToGrid w:val="0"/>
        <w:spacing w:line="360" w:lineRule="auto"/>
        <w:rPr>
          <w:rFonts w:hint="eastAsia" w:cs="仿宋" w:asciiTheme="minorEastAsia" w:hAnsiTheme="minorEastAsia" w:eastAsiaTheme="minorEastAsia"/>
          <w:b/>
          <w:bCs/>
          <w:sz w:val="24"/>
          <w:szCs w:val="24"/>
          <w:highlight w:val="none"/>
          <w:u w:val="single"/>
        </w:rPr>
      </w:pPr>
      <w:r>
        <w:rPr>
          <w:rFonts w:hint="eastAsia" w:cs="仿宋" w:asciiTheme="minorEastAsia" w:hAnsiTheme="minorEastAsia" w:eastAsiaTheme="minorEastAsia"/>
          <w:b/>
          <w:bCs/>
          <w:sz w:val="24"/>
          <w:szCs w:val="24"/>
          <w:highlight w:val="none"/>
        </w:rPr>
        <w:t>致：采购人</w:t>
      </w:r>
    </w:p>
    <w:p w14:paraId="1B7D460E">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sz w:val="24"/>
          <w:szCs w:val="24"/>
          <w:highlight w:val="none"/>
        </w:rPr>
        <w:t>（</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2FF549A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217" w:name="_Toc13899"/>
      <w:r>
        <w:rPr>
          <w:rFonts w:hint="eastAsia" w:cs="仿宋" w:asciiTheme="minorEastAsia" w:hAnsiTheme="minorEastAsia" w:eastAsiaTheme="minorEastAsia"/>
          <w:sz w:val="24"/>
          <w:szCs w:val="24"/>
          <w:highlight w:val="none"/>
        </w:rPr>
        <w:t>一、(事项一)</w:t>
      </w:r>
      <w:bookmarkEnd w:id="217"/>
    </w:p>
    <w:p w14:paraId="70163DFD">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2054FBF6">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7752D951">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4067E72C">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bookmarkStart w:id="218" w:name="_Toc3352"/>
      <w:r>
        <w:rPr>
          <w:rFonts w:hint="eastAsia" w:cs="仿宋" w:asciiTheme="minorEastAsia" w:hAnsiTheme="minorEastAsia" w:eastAsiaTheme="minorEastAsia"/>
          <w:sz w:val="24"/>
          <w:szCs w:val="24"/>
          <w:highlight w:val="none"/>
        </w:rPr>
        <w:t>二、(事项二)</w:t>
      </w:r>
      <w:bookmarkEnd w:id="218"/>
    </w:p>
    <w:p w14:paraId="6D1C4871">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7113FF80">
      <w:pPr>
        <w:adjustRightInd w:val="0"/>
        <w:snapToGrid w:val="0"/>
        <w:spacing w:line="360" w:lineRule="auto"/>
        <w:ind w:firstLine="480" w:firstLineChars="200"/>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273DB36F">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05196C64">
      <w:pPr>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3B5FDB3F">
      <w:pPr>
        <w:tabs>
          <w:tab w:val="left" w:pos="630"/>
        </w:tabs>
        <w:spacing w:line="360" w:lineRule="auto"/>
        <w:ind w:firstLine="4228" w:firstLineChars="1762"/>
        <w:rPr>
          <w:rFonts w:hint="eastAsia"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676ACC16">
      <w:pPr>
        <w:rPr>
          <w:rFonts w:hint="eastAsia" w:ascii="仿宋" w:hAnsi="仿宋" w:eastAsia="仿宋" w:cs="仿宋"/>
          <w:b/>
          <w:bCs/>
          <w:sz w:val="32"/>
          <w:szCs w:val="44"/>
          <w:highlight w:val="none"/>
        </w:rPr>
      </w:pPr>
      <w:r>
        <w:rPr>
          <w:rFonts w:hint="eastAsia" w:ascii="仿宋" w:hAnsi="仿宋" w:eastAsia="仿宋" w:cs="仿宋"/>
          <w:b/>
          <w:bCs/>
          <w:sz w:val="32"/>
          <w:szCs w:val="44"/>
          <w:highlight w:val="none"/>
        </w:rPr>
        <w:br w:type="page"/>
      </w:r>
    </w:p>
    <w:p w14:paraId="07245DC9">
      <w:pPr>
        <w:jc w:val="center"/>
        <w:outlineLvl w:val="1"/>
        <w:rPr>
          <w:rFonts w:hint="eastAsia" w:ascii="仿宋" w:hAnsi="仿宋" w:eastAsia="仿宋" w:cs="仿宋"/>
          <w:b/>
          <w:bCs/>
          <w:sz w:val="32"/>
          <w:szCs w:val="44"/>
          <w:highlight w:val="none"/>
        </w:rPr>
      </w:pPr>
      <w:bookmarkStart w:id="219" w:name="_Toc3245"/>
      <w:bookmarkStart w:id="220" w:name="_Toc1575"/>
      <w:r>
        <w:rPr>
          <w:rFonts w:hint="eastAsia" w:ascii="仿宋" w:hAnsi="仿宋" w:eastAsia="仿宋" w:cs="仿宋"/>
          <w:b/>
          <w:bCs/>
          <w:sz w:val="32"/>
          <w:szCs w:val="44"/>
          <w:highlight w:val="none"/>
        </w:rPr>
        <w:t>质疑函范本</w:t>
      </w:r>
      <w:bookmarkEnd w:id="219"/>
      <w:bookmarkEnd w:id="220"/>
    </w:p>
    <w:p w14:paraId="192E89D1">
      <w:pPr>
        <w:adjustRightInd w:val="0"/>
        <w:snapToGrid w:val="0"/>
        <w:spacing w:before="312" w:beforeLines="100" w:line="360" w:lineRule="auto"/>
        <w:rPr>
          <w:rFonts w:hint="eastAsia" w:cs="仿宋" w:asciiTheme="minorEastAsia" w:hAnsiTheme="minorEastAsia" w:eastAsiaTheme="minorEastAsia"/>
          <w:b/>
          <w:bCs/>
          <w:sz w:val="24"/>
          <w:szCs w:val="24"/>
          <w:highlight w:val="none"/>
        </w:rPr>
      </w:pPr>
      <w:bookmarkStart w:id="221" w:name="_Toc21381"/>
      <w:r>
        <w:rPr>
          <w:rFonts w:hint="eastAsia" w:cs="仿宋" w:asciiTheme="minorEastAsia" w:hAnsiTheme="minorEastAsia" w:eastAsiaTheme="minorEastAsia"/>
          <w:b/>
          <w:bCs/>
          <w:sz w:val="24"/>
          <w:szCs w:val="24"/>
          <w:highlight w:val="none"/>
        </w:rPr>
        <w:t>一、质疑供应商基本信息</w:t>
      </w:r>
      <w:bookmarkEnd w:id="221"/>
    </w:p>
    <w:p w14:paraId="2969C755">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5A10C864">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50E48D3A">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6B0ACF4C">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18BF7FA9">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r>
        <w:rPr>
          <w:rFonts w:cs="仿宋" w:asciiTheme="minorEastAsia" w:hAnsiTheme="minorEastAsia" w:eastAsiaTheme="minorEastAsia"/>
          <w:sz w:val="24"/>
          <w:szCs w:val="24"/>
          <w:highlight w:val="none"/>
        </w:rPr>
        <w:t xml:space="preserve"> </w:t>
      </w:r>
    </w:p>
    <w:p w14:paraId="0591435A">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30D175B7">
      <w:pPr>
        <w:adjustRightInd w:val="0"/>
        <w:snapToGrid w:val="0"/>
        <w:spacing w:line="360" w:lineRule="auto"/>
        <w:rPr>
          <w:rFonts w:hint="eastAsia" w:cs="仿宋" w:asciiTheme="minorEastAsia" w:hAnsiTheme="minorEastAsia" w:eastAsiaTheme="minorEastAsia"/>
          <w:b/>
          <w:bCs/>
          <w:sz w:val="24"/>
          <w:szCs w:val="24"/>
          <w:highlight w:val="none"/>
        </w:rPr>
      </w:pPr>
      <w:bookmarkStart w:id="222" w:name="_Toc28415"/>
      <w:r>
        <w:rPr>
          <w:rFonts w:hint="eastAsia" w:cs="仿宋" w:asciiTheme="minorEastAsia" w:hAnsiTheme="minorEastAsia" w:eastAsiaTheme="minorEastAsia"/>
          <w:b/>
          <w:bCs/>
          <w:sz w:val="24"/>
          <w:szCs w:val="24"/>
          <w:highlight w:val="none"/>
        </w:rPr>
        <w:t>二、质疑项目基本情况</w:t>
      </w:r>
      <w:bookmarkEnd w:id="222"/>
    </w:p>
    <w:p w14:paraId="6E9DB2C9">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32E0C9E6">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74AE4036">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5BE258A4">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156F83B1">
      <w:pPr>
        <w:adjustRightInd w:val="0"/>
        <w:snapToGrid w:val="0"/>
        <w:spacing w:line="360" w:lineRule="auto"/>
        <w:rPr>
          <w:rFonts w:hint="eastAsia" w:cs="仿宋" w:asciiTheme="minorEastAsia" w:hAnsiTheme="minorEastAsia" w:eastAsiaTheme="minorEastAsia"/>
          <w:b/>
          <w:bCs/>
          <w:sz w:val="24"/>
          <w:szCs w:val="24"/>
          <w:highlight w:val="none"/>
        </w:rPr>
      </w:pPr>
      <w:bookmarkStart w:id="223" w:name="_Toc19014"/>
      <w:r>
        <w:rPr>
          <w:rFonts w:hint="eastAsia" w:cs="仿宋" w:asciiTheme="minorEastAsia" w:hAnsiTheme="minorEastAsia" w:eastAsiaTheme="minorEastAsia"/>
          <w:b/>
          <w:bCs/>
          <w:sz w:val="24"/>
          <w:szCs w:val="24"/>
          <w:highlight w:val="none"/>
        </w:rPr>
        <w:t>三、质疑事项具体内容</w:t>
      </w:r>
      <w:bookmarkEnd w:id="223"/>
    </w:p>
    <w:p w14:paraId="721BD74B">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311F48B7">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183560AF">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52CAE8FF">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4D596D28">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7ABD6E4C">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503D407C">
      <w:pPr>
        <w:adjustRightInd w:val="0"/>
        <w:snapToGrid w:val="0"/>
        <w:spacing w:line="360" w:lineRule="auto"/>
        <w:rPr>
          <w:rFonts w:hint="eastAsia"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58DFBE05">
      <w:pPr>
        <w:adjustRightInd w:val="0"/>
        <w:snapToGrid w:val="0"/>
        <w:spacing w:line="360" w:lineRule="auto"/>
        <w:rPr>
          <w:rFonts w:hint="eastAsia" w:cs="仿宋" w:asciiTheme="minorEastAsia" w:hAnsiTheme="minorEastAsia" w:eastAsiaTheme="minorEastAsia"/>
          <w:b/>
          <w:bCs/>
          <w:sz w:val="24"/>
          <w:szCs w:val="24"/>
          <w:highlight w:val="none"/>
        </w:rPr>
      </w:pPr>
      <w:bookmarkStart w:id="224" w:name="_Toc17919"/>
      <w:r>
        <w:rPr>
          <w:rFonts w:hint="eastAsia" w:cs="仿宋" w:asciiTheme="minorEastAsia" w:hAnsiTheme="minorEastAsia" w:eastAsiaTheme="minorEastAsia"/>
          <w:b/>
          <w:bCs/>
          <w:sz w:val="24"/>
          <w:szCs w:val="24"/>
          <w:highlight w:val="none"/>
        </w:rPr>
        <w:t>四、与质疑事项相关的质疑请求</w:t>
      </w:r>
      <w:bookmarkEnd w:id="224"/>
    </w:p>
    <w:p w14:paraId="1A89B204">
      <w:pPr>
        <w:adjustRightInd w:val="0"/>
        <w:snapToGrid w:val="0"/>
        <w:spacing w:line="360" w:lineRule="auto"/>
        <w:rPr>
          <w:rFonts w:hint="eastAsia"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2F7F0205">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签字(签字或盖章)：                   公章：                      </w:t>
      </w:r>
    </w:p>
    <w:p w14:paraId="367D46FE">
      <w:pPr>
        <w:spacing w:line="360" w:lineRule="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7F195B8E">
      <w:pPr>
        <w:widowControl/>
        <w:jc w:val="left"/>
        <w:rPr>
          <w:rFonts w:hint="eastAsia" w:ascii="仿宋" w:hAnsi="仿宋" w:eastAsia="仿宋" w:cs="仿宋"/>
          <w:sz w:val="32"/>
          <w:szCs w:val="32"/>
          <w:highlight w:val="none"/>
        </w:rPr>
      </w:pPr>
      <w:r>
        <w:rPr>
          <w:rFonts w:ascii="仿宋" w:hAnsi="仿宋" w:eastAsia="仿宋" w:cs="仿宋"/>
          <w:sz w:val="32"/>
          <w:szCs w:val="32"/>
          <w:highlight w:val="none"/>
        </w:rPr>
        <w:br w:type="page"/>
      </w:r>
    </w:p>
    <w:p w14:paraId="0ADA5C43">
      <w:pPr>
        <w:outlineLvl w:val="0"/>
        <w:rPr>
          <w:rFonts w:hint="eastAsia" w:asciiTheme="minorEastAsia" w:hAnsiTheme="minorEastAsia" w:eastAsiaTheme="minorEastAsia"/>
          <w:b/>
          <w:sz w:val="28"/>
          <w:szCs w:val="32"/>
          <w:highlight w:val="none"/>
        </w:rPr>
      </w:pPr>
      <w:bookmarkStart w:id="225" w:name="_Toc26836"/>
      <w:bookmarkStart w:id="226" w:name="_Toc9754"/>
      <w:r>
        <w:rPr>
          <w:rFonts w:hint="eastAsia" w:asciiTheme="minorEastAsia" w:hAnsiTheme="minorEastAsia" w:eastAsiaTheme="minorEastAsia"/>
          <w:b/>
          <w:sz w:val="28"/>
          <w:szCs w:val="32"/>
          <w:highlight w:val="none"/>
        </w:rPr>
        <w:t>质疑函制作说明：</w:t>
      </w:r>
      <w:bookmarkEnd w:id="225"/>
      <w:bookmarkEnd w:id="226"/>
    </w:p>
    <w:p w14:paraId="76122B9C">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3220057F">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7F9C80">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67A3994A">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0A3C8DF8">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501F0DA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525BA01A">
      <w:pPr>
        <w:spacing w:line="360" w:lineRule="auto"/>
        <w:ind w:firstLine="435"/>
        <w:rPr>
          <w:rFonts w:hint="eastAsia" w:asciiTheme="minorEastAsia" w:hAnsiTheme="minorEastAsia" w:eastAsiaTheme="minorEastAsia"/>
          <w:sz w:val="24"/>
          <w:highlight w:val="none"/>
        </w:rPr>
      </w:pPr>
    </w:p>
    <w:p w14:paraId="2019D685">
      <w:pPr>
        <w:spacing w:line="360" w:lineRule="auto"/>
        <w:ind w:firstLine="435"/>
        <w:rPr>
          <w:rFonts w:hint="eastAsia" w:asciiTheme="minorEastAsia" w:hAnsiTheme="minorEastAsia" w:eastAsiaTheme="minorEastAsia"/>
          <w:sz w:val="24"/>
          <w:highlight w:val="none"/>
        </w:rPr>
      </w:pPr>
    </w:p>
    <w:p w14:paraId="1A477453">
      <w:pPr>
        <w:spacing w:line="360" w:lineRule="auto"/>
        <w:ind w:firstLine="435"/>
        <w:rPr>
          <w:rFonts w:hint="eastAsia" w:asciiTheme="minorEastAsia" w:hAnsiTheme="minorEastAsia" w:eastAsiaTheme="minorEastAsia"/>
          <w:sz w:val="24"/>
          <w:highlight w:val="none"/>
        </w:rPr>
      </w:pPr>
    </w:p>
    <w:p w14:paraId="42465CFC">
      <w:pPr>
        <w:spacing w:line="360" w:lineRule="auto"/>
        <w:ind w:firstLine="435"/>
        <w:rPr>
          <w:rFonts w:hint="eastAsia" w:asciiTheme="minorEastAsia" w:hAnsiTheme="minorEastAsia" w:eastAsiaTheme="minorEastAsia"/>
          <w:sz w:val="24"/>
          <w:highlight w:val="none"/>
        </w:rPr>
      </w:pPr>
    </w:p>
    <w:p w14:paraId="2069F84E">
      <w:pPr>
        <w:spacing w:line="360" w:lineRule="auto"/>
        <w:ind w:firstLine="435"/>
        <w:rPr>
          <w:rFonts w:hint="eastAsia" w:asciiTheme="minorEastAsia" w:hAnsiTheme="minorEastAsia" w:eastAsiaTheme="minorEastAsia"/>
          <w:sz w:val="24"/>
          <w:highlight w:val="none"/>
        </w:rPr>
      </w:pPr>
    </w:p>
    <w:p w14:paraId="1C678A20">
      <w:pPr>
        <w:spacing w:line="360" w:lineRule="auto"/>
        <w:ind w:firstLine="435"/>
        <w:rPr>
          <w:rFonts w:hint="eastAsia" w:asciiTheme="minorEastAsia" w:hAnsiTheme="minorEastAsia" w:eastAsiaTheme="minorEastAsia"/>
          <w:sz w:val="24"/>
          <w:highlight w:val="none"/>
        </w:rPr>
      </w:pPr>
    </w:p>
    <w:p w14:paraId="4B2AB388">
      <w:pPr>
        <w:spacing w:line="360" w:lineRule="auto"/>
        <w:ind w:firstLine="435"/>
        <w:rPr>
          <w:rFonts w:hint="eastAsia" w:asciiTheme="minorEastAsia" w:hAnsiTheme="minorEastAsia" w:eastAsiaTheme="minorEastAsia"/>
          <w:sz w:val="24"/>
          <w:highlight w:val="none"/>
        </w:rPr>
      </w:pPr>
    </w:p>
    <w:p w14:paraId="4036544E">
      <w:pPr>
        <w:spacing w:line="360" w:lineRule="auto"/>
        <w:ind w:firstLine="435"/>
        <w:rPr>
          <w:rFonts w:hint="eastAsia" w:asciiTheme="minorEastAsia" w:hAnsiTheme="minorEastAsia" w:eastAsiaTheme="minorEastAsia"/>
          <w:sz w:val="24"/>
          <w:highlight w:val="none"/>
        </w:rPr>
      </w:pPr>
    </w:p>
    <w:p w14:paraId="7F4CFD63">
      <w:pPr>
        <w:spacing w:line="360" w:lineRule="auto"/>
        <w:ind w:firstLine="435"/>
        <w:rPr>
          <w:rFonts w:hint="eastAsia" w:asciiTheme="minorEastAsia" w:hAnsiTheme="minorEastAsia" w:eastAsiaTheme="minorEastAsia"/>
          <w:sz w:val="24"/>
          <w:highlight w:val="none"/>
        </w:rPr>
      </w:pPr>
    </w:p>
    <w:p w14:paraId="47A1C2FD">
      <w:pPr>
        <w:spacing w:line="360" w:lineRule="auto"/>
        <w:ind w:firstLine="435"/>
        <w:rPr>
          <w:rFonts w:hint="eastAsia" w:asciiTheme="minorEastAsia" w:hAnsiTheme="minorEastAsia" w:eastAsiaTheme="minorEastAsia"/>
          <w:sz w:val="24"/>
          <w:highlight w:val="none"/>
        </w:rPr>
      </w:pPr>
    </w:p>
    <w:p w14:paraId="23C23FD9">
      <w:pPr>
        <w:spacing w:line="360" w:lineRule="auto"/>
        <w:ind w:firstLine="435"/>
        <w:rPr>
          <w:rFonts w:hint="eastAsia" w:asciiTheme="minorEastAsia" w:hAnsiTheme="minorEastAsia" w:eastAsiaTheme="minorEastAsia"/>
          <w:sz w:val="24"/>
          <w:highlight w:val="none"/>
        </w:rPr>
      </w:pPr>
    </w:p>
    <w:p w14:paraId="6E183CCC">
      <w:pPr>
        <w:spacing w:line="360" w:lineRule="auto"/>
        <w:ind w:firstLine="435"/>
        <w:rPr>
          <w:rFonts w:hint="eastAsia" w:asciiTheme="minorEastAsia" w:hAnsiTheme="minorEastAsia" w:eastAsiaTheme="minorEastAsia"/>
          <w:sz w:val="24"/>
          <w:highlight w:val="none"/>
        </w:rPr>
      </w:pPr>
    </w:p>
    <w:p w14:paraId="32E15D90">
      <w:pPr>
        <w:spacing w:line="360" w:lineRule="auto"/>
        <w:ind w:firstLine="435"/>
        <w:rPr>
          <w:rFonts w:hint="eastAsia" w:asciiTheme="minorEastAsia" w:hAnsiTheme="minorEastAsia" w:eastAsiaTheme="minorEastAsia"/>
          <w:sz w:val="24"/>
          <w:highlight w:val="none"/>
        </w:rPr>
      </w:pPr>
    </w:p>
    <w:p w14:paraId="0ACF361B">
      <w:pPr>
        <w:spacing w:line="360" w:lineRule="auto"/>
        <w:ind w:firstLine="435"/>
        <w:rPr>
          <w:rFonts w:hint="eastAsia" w:asciiTheme="minorEastAsia" w:hAnsiTheme="minorEastAsia" w:eastAsiaTheme="minorEastAsia"/>
          <w:sz w:val="24"/>
          <w:highlight w:val="none"/>
        </w:rPr>
      </w:pPr>
    </w:p>
    <w:p w14:paraId="4A5B66A6">
      <w:pPr>
        <w:spacing w:line="360" w:lineRule="auto"/>
        <w:ind w:firstLine="435"/>
        <w:rPr>
          <w:rFonts w:hint="eastAsia" w:asciiTheme="minorEastAsia" w:hAnsiTheme="minorEastAsia" w:eastAsiaTheme="minorEastAsia"/>
          <w:sz w:val="24"/>
          <w:highlight w:val="none"/>
        </w:rPr>
      </w:pPr>
    </w:p>
    <w:p w14:paraId="2F7DDB07">
      <w:pPr>
        <w:spacing w:line="360" w:lineRule="auto"/>
        <w:ind w:firstLine="435"/>
        <w:rPr>
          <w:rFonts w:hint="eastAsia" w:asciiTheme="minorEastAsia" w:hAnsiTheme="minorEastAsia" w:eastAsiaTheme="minorEastAsia"/>
          <w:sz w:val="24"/>
          <w:highlight w:val="none"/>
        </w:rPr>
      </w:pPr>
    </w:p>
    <w:p w14:paraId="0A486487">
      <w:pPr>
        <w:spacing w:line="360" w:lineRule="auto"/>
        <w:ind w:firstLine="435"/>
        <w:rPr>
          <w:rFonts w:hint="eastAsia" w:asciiTheme="minorEastAsia" w:hAnsiTheme="minorEastAsia" w:eastAsiaTheme="minorEastAsia"/>
          <w:sz w:val="24"/>
          <w:highlight w:val="none"/>
        </w:rPr>
      </w:pPr>
    </w:p>
    <w:p w14:paraId="16453F60">
      <w:pPr>
        <w:spacing w:line="360" w:lineRule="auto"/>
        <w:ind w:firstLine="435"/>
        <w:rPr>
          <w:rFonts w:hint="eastAsia" w:asciiTheme="minorEastAsia" w:hAnsiTheme="minorEastAsia" w:eastAsiaTheme="minorEastAsia"/>
          <w:sz w:val="24"/>
          <w:highlight w:val="none"/>
        </w:rPr>
      </w:pPr>
    </w:p>
    <w:p w14:paraId="799CFF6B">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附件1</w:t>
      </w:r>
    </w:p>
    <w:p w14:paraId="16FF98E5">
      <w:pPr>
        <w:spacing w:line="3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关于联合惩戒失信行为 加强信用查询管理的通知</w:t>
      </w:r>
    </w:p>
    <w:p w14:paraId="669947C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一、失信行为联合惩戒的范围和查询渠道</w:t>
      </w:r>
    </w:p>
    <w:p w14:paraId="2162AAA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在我市公共资源交易活动中对存在下列失信行为的投标人、法定代表人及其项目负责人实施联合惩戒，禁止参与我市公共资源交易活动。</w:t>
      </w:r>
    </w:p>
    <w:p w14:paraId="6139A5F4">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（一）工程建设项目</w:t>
      </w:r>
    </w:p>
    <w:p w14:paraId="7BA060F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1、“信用中国”网站（www.creditchina.gov.cn）查询以下失信行为：</w:t>
      </w:r>
    </w:p>
    <w:p w14:paraId="52B425E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①投标人被人民法院列入失信被执行人的；</w:t>
      </w:r>
    </w:p>
    <w:p w14:paraId="641F618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②投标人被税务部门列入重大税收违法案件当事人的；</w:t>
      </w:r>
    </w:p>
    <w:p w14:paraId="22EDDBAD">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③投标人被人力资源社会保障行政部门列入拖欠农民工工资“黑名单”的；</w:t>
      </w:r>
    </w:p>
    <w:p w14:paraId="1A114EF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④在“信用中国”网站上披露的仍在公示期的严重失信行为的。</w:t>
      </w:r>
    </w:p>
    <w:p w14:paraId="250E5E40">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2、国家企业信用信息公示系统网站（www.gsxt.gov.cn）查询以下失信行为：</w:t>
      </w:r>
    </w:p>
    <w:p w14:paraId="334289E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①被市场监督管理部门列入经营异常名录或者严重违法企业名单，且未被移除的。</w:t>
      </w:r>
    </w:p>
    <w:p w14:paraId="1AB135C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w:t>
      </w:r>
      <w:r>
        <w:rPr>
          <w:rFonts w:hint="eastAsia" w:ascii="宋体" w:hAnsi="宋体" w:eastAsia="宋体" w:cs="宋体"/>
          <w:b/>
          <w:sz w:val="24"/>
          <w:szCs w:val="24"/>
          <w:highlight w:val="none"/>
          <w:lang w:eastAsia="zh-CN" w:bidi="ar"/>
        </w:rPr>
        <w:t>滁州市公共资源交易中心网</w:t>
      </w:r>
      <w:r>
        <w:rPr>
          <w:rFonts w:hint="eastAsia" w:ascii="宋体" w:hAnsi="宋体" w:eastAsia="宋体" w:cs="宋体"/>
          <w:b/>
          <w:sz w:val="24"/>
          <w:szCs w:val="24"/>
          <w:highlight w:val="none"/>
          <w:lang w:bidi="ar"/>
        </w:rPr>
        <w:t>（http://ggzy.chuzhou.gov.cn/）查询以下失信行为：</w:t>
      </w:r>
    </w:p>
    <w:p w14:paraId="1B695C2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①被滁州市县两级公管部门取消在一定期限内的投标资格且在取消期限内的；</w:t>
      </w:r>
    </w:p>
    <w:p w14:paraId="3402035D">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②被滁州市县两级公管部门记入不良行为记录或者信用信息记录，且在披露期内的。</w:t>
      </w:r>
    </w:p>
    <w:p w14:paraId="4C47D88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4、由竞争主体进行承诺，不进行现场网上信用查询的失信行为：</w:t>
      </w:r>
    </w:p>
    <w:p w14:paraId="7B4AB9C3">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①前三年列入行贿犯罪档案的单位和个人；</w:t>
      </w:r>
    </w:p>
    <w:p w14:paraId="7CC55E4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②被滁州市县两级各行业主管部门取消在一定期限内的投标资格且在取消期限内的；</w:t>
      </w:r>
    </w:p>
    <w:p w14:paraId="3ABFC8E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③因拖欠农民工工资被县级及以上有关行政主管部门限制投标资格且在限制期限内的。</w:t>
      </w:r>
    </w:p>
    <w:p w14:paraId="6A8B156A">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（二）政府采购项目</w:t>
      </w:r>
    </w:p>
    <w:p w14:paraId="74C178F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1、“信用中国”网站（www.creditchina.gov.cn）查询以下失信行为：</w:t>
      </w:r>
    </w:p>
    <w:p w14:paraId="3D4BA14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①投标人被人民法院列入失信被执行人的；</w:t>
      </w:r>
    </w:p>
    <w:p w14:paraId="19772E7C">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②投标人被税务部门列入重大税收违法案件当事人的；</w:t>
      </w:r>
    </w:p>
    <w:p w14:paraId="0C3F1109">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③在“信用中国”网站上披露的仍在公示期的严重失信行为的。</w:t>
      </w:r>
    </w:p>
    <w:p w14:paraId="6A7D2C6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2、国家企业信用信息公示系统网站（www.gsxt.gov.cn）查询以下失信行为：</w:t>
      </w:r>
    </w:p>
    <w:p w14:paraId="5F1D7D14">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①被市场监督管理部门列入经营异常名录或者严重违法企业名单，且未被移除的。</w:t>
      </w:r>
    </w:p>
    <w:p w14:paraId="0954464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3、中国政府采购网站（www.ccgp.gov.cn）查询以下失信行为：</w:t>
      </w:r>
    </w:p>
    <w:p w14:paraId="0119D03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①政府采购严重违法失信行为</w:t>
      </w:r>
    </w:p>
    <w:p w14:paraId="56568CF3">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4、由竞争主体进行承诺，不进行现场网上信用查询的失信行为：</w:t>
      </w:r>
    </w:p>
    <w:p w14:paraId="516A297C">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①前三年列入行贿犯罪档案的单位和个人。</w:t>
      </w:r>
    </w:p>
    <w:p w14:paraId="70C64BDE">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二、在开评标活动中的查询程序</w:t>
      </w:r>
    </w:p>
    <w:p w14:paraId="02596AF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实行有限数量制资格审查的项目，由项目单位（代理机构）对入围的投标人、法定代表人及其项目负责人是否存在上述要求查询的失信行为进行网上核查；若核查结果与投标人承诺不一致，则提交评标委员会取消其入围资格，依次进行替补，并对替补单位进行核查。评审结论以核查后入围的结果重新计算最终评标基准值。</w:t>
      </w:r>
    </w:p>
    <w:p w14:paraId="3B69BEE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不实行有限数量制资格审查的项目，由项目单位（代理机构）对评审最终得分排序前3名（含）的预中标候选人、法定代表人及其项目负责人是否存在上述要求查询的失信行为进行网上核查。若核查结果与投标人承诺不一致，则提交评标委员会取消其预中标候选人资格，依次替补，并再次对替补单位进行核查。核查结果不改变原评标基准值。</w:t>
      </w:r>
    </w:p>
    <w:p w14:paraId="62CC9135">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3、项目单位及其委托的代理机构应当做好信用查询结果截图和记录留存。</w:t>
      </w:r>
    </w:p>
    <w:p w14:paraId="5CEB9C6F">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4、交易中心见证人员对预中标候选人信用查询结果进行复查，发现问题及时纠正，并按规定程序追究相关单位和人员责任。</w:t>
      </w:r>
    </w:p>
    <w:p w14:paraId="55DD23AB">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5、结果公告须提供有评标委员会、代理机构及交易中心现场见证人员查询记录三方签字表方可发布。</w:t>
      </w:r>
    </w:p>
    <w:p w14:paraId="1FAE2CB1">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三、相关要求</w:t>
      </w:r>
    </w:p>
    <w:p w14:paraId="77F54668">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179B0842">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19884D9">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2、“信用中国”查询的严重失信行为判定依据为各行业主管部门下发的联合惩戒文件中规定的行为（按附件2执行）。</w:t>
      </w:r>
    </w:p>
    <w:p w14:paraId="432D4D80">
      <w:pPr>
        <w:spacing w:line="38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3、资格预审的项目以递交资格预审申请文件截止时间查询为准；资格后审的项目以递交投标文件截止时间查询为准。</w:t>
      </w:r>
    </w:p>
    <w:p w14:paraId="3C030B15">
      <w:pPr>
        <w:spacing w:line="3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附件2</w:t>
      </w:r>
    </w:p>
    <w:p w14:paraId="5BCCE777">
      <w:pPr>
        <w:spacing w:line="38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“信用中国”查询的严重失信行为类别及判定依据</w:t>
      </w:r>
    </w:p>
    <w:p w14:paraId="5ED89AF8">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“信用中国”查询的严重失信行为判定依据为各行业主管部门下发的联合惩戒文件中规定的行为。下面将部分类别的严重失信行为列举如下：</w:t>
      </w:r>
    </w:p>
    <w:p w14:paraId="36BDF4A9">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一、安全生产领域严重失信行为：</w:t>
      </w:r>
    </w:p>
    <w:p w14:paraId="305FC5B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（一）发生较大及以上生产安全责任事故，或1年内累计发生3起及以上造成人员死亡的一般生产安全责任事故的；</w:t>
      </w:r>
    </w:p>
    <w:p w14:paraId="6530106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（二）未按规定取得安全生产许可，擅自开展生产经营建设活动的；</w:t>
      </w:r>
    </w:p>
    <w:p w14:paraId="7FF16DD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（三）发现重大生产安全事故隐患，或职业病危害严重超标，不及时整改，仍组织从业人员冒险作业的；</w:t>
      </w:r>
    </w:p>
    <w:p w14:paraId="6C0EF28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（四）采取隐蔽、欺骗或阻碍等方式逃避、对抗安全监管监察的;</w:t>
      </w:r>
    </w:p>
    <w:p w14:paraId="147BB60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（五）被责令停产停业整顿，仍然从事生产经营建设活动的；</w:t>
      </w:r>
    </w:p>
    <w:p w14:paraId="690239C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（六）瞒报、谎报、迟报生产安全事故的；</w:t>
      </w:r>
    </w:p>
    <w:p w14:paraId="156F52F9">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（七）矿山、危险化学品、金属冶炼等高危行业建设项目安全设施未经验收合格即投入生产和使用的；</w:t>
      </w:r>
    </w:p>
    <w:p w14:paraId="6ACEDF7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（八）矿山生产经营单位存在超层越界开采、以探代采行为的；</w:t>
      </w:r>
    </w:p>
    <w:p w14:paraId="1D5FBD3C">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（九）发生事故后，故意破坏事故现场，伪造有关证据资料，妨碍、对抗事故调查，或主要负责人逃逸的；</w:t>
      </w:r>
    </w:p>
    <w:p w14:paraId="7CEB7AF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（十）安全生产和职业健康技术服务机构出具虚假报告或证明，违规转让或出借资质的。</w:t>
      </w:r>
    </w:p>
    <w:p w14:paraId="70D848B6">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依据：《对安全生产领域失信行为开展联合惩戒的实施办法》（安监总办〔2017〕49号）第二条</w:t>
      </w:r>
    </w:p>
    <w:p w14:paraId="346A7451">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二、环境保护领域严重失信行为：</w:t>
      </w:r>
    </w:p>
    <w:p w14:paraId="72FD073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（一）因为环境违法构成</w:t>
      </w:r>
      <w:r>
        <w:rPr>
          <w:highlight w:val="none"/>
        </w:rPr>
        <w:fldChar w:fldCharType="begin"/>
      </w:r>
      <w:r>
        <w:rPr>
          <w:highlight w:val="none"/>
        </w:rPr>
        <w:instrText xml:space="preserve"> HYPERLINK "https://baike.sogou.com/m/fullLemma?lid=10403954&amp;g_ut=3" </w:instrText>
      </w:r>
      <w:r>
        <w:rPr>
          <w:highlight w:val="none"/>
        </w:rPr>
        <w:fldChar w:fldCharType="separate"/>
      </w:r>
      <w:r>
        <w:rPr>
          <w:rStyle w:val="35"/>
          <w:rFonts w:hint="eastAsia" w:ascii="宋体" w:hAnsi="宋体" w:eastAsia="宋体" w:cs="宋体"/>
          <w:color w:val="auto"/>
          <w:sz w:val="24"/>
          <w:szCs w:val="24"/>
          <w:highlight w:val="none"/>
        </w:rPr>
        <w:t>环境犯罪</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的；</w:t>
      </w:r>
    </w:p>
    <w:p w14:paraId="7009AC6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w:t>
      </w:r>
      <w:r>
        <w:rPr>
          <w:highlight w:val="none"/>
        </w:rPr>
        <w:fldChar w:fldCharType="begin"/>
      </w:r>
      <w:r>
        <w:rPr>
          <w:highlight w:val="none"/>
        </w:rPr>
        <w:instrText xml:space="preserve"> HYPERLINK "https://baike.sogou.com/m/fullLemma?lid=76033123&amp;g_ut=3" </w:instrText>
      </w:r>
      <w:r>
        <w:rPr>
          <w:highlight w:val="none"/>
        </w:rPr>
        <w:fldChar w:fldCharType="separate"/>
      </w:r>
      <w:r>
        <w:rPr>
          <w:rStyle w:val="35"/>
          <w:rFonts w:hint="eastAsia" w:ascii="宋体" w:hAnsi="宋体" w:eastAsia="宋体" w:cs="宋体"/>
          <w:color w:val="auto"/>
          <w:sz w:val="24"/>
          <w:szCs w:val="24"/>
          <w:highlight w:val="none"/>
        </w:rPr>
        <w:t>建设项目环境影响评价</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文件未按规定通过审批，擅自开工建设的；</w:t>
      </w:r>
    </w:p>
    <w:p w14:paraId="3E26ED7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（三）建设项目环保设施未建成、环保措施未落实、未通过</w:t>
      </w:r>
      <w:r>
        <w:rPr>
          <w:highlight w:val="none"/>
        </w:rPr>
        <w:fldChar w:fldCharType="begin"/>
      </w:r>
      <w:r>
        <w:rPr>
          <w:highlight w:val="none"/>
        </w:rPr>
        <w:instrText xml:space="preserve"> HYPERLINK "https://baike.sogou.com/m/fullLemma?lid=6470550&amp;g_ut=3" </w:instrText>
      </w:r>
      <w:r>
        <w:rPr>
          <w:highlight w:val="none"/>
        </w:rPr>
        <w:fldChar w:fldCharType="separate"/>
      </w:r>
      <w:r>
        <w:rPr>
          <w:rStyle w:val="35"/>
          <w:rFonts w:hint="eastAsia" w:ascii="宋体" w:hAnsi="宋体" w:eastAsia="宋体" w:cs="宋体"/>
          <w:color w:val="auto"/>
          <w:sz w:val="24"/>
          <w:szCs w:val="24"/>
          <w:highlight w:val="none"/>
        </w:rPr>
        <w:t>竣工环保验收</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或者验收不合格，主体工程正式投入生产或者使用的；</w:t>
      </w:r>
    </w:p>
    <w:p w14:paraId="7670BB2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（四）建设项目性质、规模、地点、采用的生产工艺或者防治污染、防止生态破坏的措施发生重大变动，未重新报批环境影响评价文件，擅自投入生产或者使用的；</w:t>
      </w:r>
    </w:p>
    <w:p w14:paraId="5DC9C274">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（五）主要污染物排放总量超过控制指标的；</w:t>
      </w:r>
    </w:p>
    <w:p w14:paraId="2035C7F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（六）私设暗管或者利用</w:t>
      </w:r>
      <w:r>
        <w:rPr>
          <w:highlight w:val="none"/>
        </w:rPr>
        <w:fldChar w:fldCharType="begin"/>
      </w:r>
      <w:r>
        <w:rPr>
          <w:highlight w:val="none"/>
        </w:rPr>
        <w:instrText xml:space="preserve"> HYPERLINK "https://baike.sogou.com/m/fullLemma?lid=41657319&amp;g_ut=3" </w:instrText>
      </w:r>
      <w:r>
        <w:rPr>
          <w:highlight w:val="none"/>
        </w:rPr>
        <w:fldChar w:fldCharType="separate"/>
      </w:r>
      <w:r>
        <w:rPr>
          <w:rStyle w:val="35"/>
          <w:rFonts w:hint="eastAsia" w:ascii="宋体" w:hAnsi="宋体" w:eastAsia="宋体" w:cs="宋体"/>
          <w:color w:val="auto"/>
          <w:sz w:val="24"/>
          <w:szCs w:val="24"/>
          <w:highlight w:val="none"/>
        </w:rPr>
        <w:t>渗井</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、渗坑、裂隙、溶洞等排放、倾倒、处置水污染物，或者通过私设旁路排放</w:t>
      </w:r>
      <w:r>
        <w:rPr>
          <w:highlight w:val="none"/>
        </w:rPr>
        <w:fldChar w:fldCharType="begin"/>
      </w:r>
      <w:r>
        <w:rPr>
          <w:highlight w:val="none"/>
        </w:rPr>
        <w:instrText xml:space="preserve"> HYPERLINK "https://baike.sogou.com/m/fullLemma?lid=7758328&amp;g_ut=3" </w:instrText>
      </w:r>
      <w:r>
        <w:rPr>
          <w:highlight w:val="none"/>
        </w:rPr>
        <w:fldChar w:fldCharType="separate"/>
      </w:r>
      <w:r>
        <w:rPr>
          <w:rStyle w:val="35"/>
          <w:rFonts w:hint="eastAsia" w:ascii="宋体" w:hAnsi="宋体" w:eastAsia="宋体" w:cs="宋体"/>
          <w:color w:val="auto"/>
          <w:sz w:val="24"/>
          <w:szCs w:val="24"/>
          <w:highlight w:val="none"/>
        </w:rPr>
        <w:t>大气污染物</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的；</w:t>
      </w:r>
    </w:p>
    <w:p w14:paraId="4A4510D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（七）非法排放、倾倒、处置危险废物，或者向无</w:t>
      </w:r>
      <w:r>
        <w:rPr>
          <w:highlight w:val="none"/>
        </w:rPr>
        <w:fldChar w:fldCharType="begin"/>
      </w:r>
      <w:r>
        <w:rPr>
          <w:highlight w:val="none"/>
        </w:rPr>
        <w:instrText xml:space="preserve"> HYPERLINK "https://baike.sogou.com/m/fullLemma?lid=5923292&amp;g_ut=3" </w:instrText>
      </w:r>
      <w:r>
        <w:rPr>
          <w:highlight w:val="none"/>
        </w:rPr>
        <w:fldChar w:fldCharType="separate"/>
      </w:r>
      <w:r>
        <w:rPr>
          <w:rStyle w:val="35"/>
          <w:rFonts w:hint="eastAsia" w:ascii="宋体" w:hAnsi="宋体" w:eastAsia="宋体" w:cs="宋体"/>
          <w:color w:val="auto"/>
          <w:sz w:val="24"/>
          <w:szCs w:val="24"/>
          <w:highlight w:val="none"/>
        </w:rPr>
        <w:t>经营许可证</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或者超出经营许可范围的单位或个人提供或者委托其收集、贮存、利用、处置危险废物的；</w:t>
      </w:r>
    </w:p>
    <w:p w14:paraId="56A303B5">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（八）</w:t>
      </w:r>
      <w:r>
        <w:rPr>
          <w:highlight w:val="none"/>
        </w:rPr>
        <w:fldChar w:fldCharType="begin"/>
      </w:r>
      <w:r>
        <w:rPr>
          <w:highlight w:val="none"/>
        </w:rPr>
        <w:instrText xml:space="preserve"> HYPERLINK "https://baike.sogou.com/m/fullLemma?lid=167759803&amp;g_ut=3" </w:instrText>
      </w:r>
      <w:r>
        <w:rPr>
          <w:highlight w:val="none"/>
        </w:rPr>
        <w:fldChar w:fldCharType="separate"/>
      </w:r>
      <w:r>
        <w:rPr>
          <w:rStyle w:val="35"/>
          <w:rFonts w:hint="eastAsia" w:ascii="宋体" w:hAnsi="宋体" w:eastAsia="宋体" w:cs="宋体"/>
          <w:color w:val="auto"/>
          <w:sz w:val="24"/>
          <w:szCs w:val="24"/>
          <w:highlight w:val="none"/>
        </w:rPr>
        <w:t>环境违法行为</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造成集中式生活饮用水水源取水中断的；</w:t>
      </w:r>
    </w:p>
    <w:p w14:paraId="46D2122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（九）环境违法行为对生活饮用水水源保护区、自然保护区、</w:t>
      </w:r>
      <w:r>
        <w:rPr>
          <w:highlight w:val="none"/>
        </w:rPr>
        <w:fldChar w:fldCharType="begin"/>
      </w:r>
      <w:r>
        <w:rPr>
          <w:highlight w:val="none"/>
        </w:rPr>
        <w:instrText xml:space="preserve"> HYPERLINK "https://baike.sogou.com/m/fullLemma?lid=155199213&amp;g_ut=3" </w:instrText>
      </w:r>
      <w:r>
        <w:rPr>
          <w:highlight w:val="none"/>
        </w:rPr>
        <w:fldChar w:fldCharType="separate"/>
      </w:r>
      <w:r>
        <w:rPr>
          <w:rStyle w:val="35"/>
          <w:rFonts w:hint="eastAsia" w:ascii="宋体" w:hAnsi="宋体" w:eastAsia="宋体" w:cs="宋体"/>
          <w:color w:val="auto"/>
          <w:sz w:val="24"/>
          <w:szCs w:val="24"/>
          <w:highlight w:val="none"/>
        </w:rPr>
        <w:t>国家重点生态功能区</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、风景名胜区、居住功能区、</w:t>
      </w:r>
      <w:r>
        <w:rPr>
          <w:highlight w:val="none"/>
        </w:rPr>
        <w:fldChar w:fldCharType="begin"/>
      </w:r>
      <w:r>
        <w:rPr>
          <w:highlight w:val="none"/>
        </w:rPr>
        <w:instrText xml:space="preserve"> HYPERLINK "https://baike.sogou.com/m/fullLemma?lid=7757164&amp;g_ut=3" </w:instrText>
      </w:r>
      <w:r>
        <w:rPr>
          <w:highlight w:val="none"/>
        </w:rPr>
        <w:fldChar w:fldCharType="separate"/>
      </w:r>
      <w:r>
        <w:rPr>
          <w:rStyle w:val="35"/>
          <w:rFonts w:hint="eastAsia" w:ascii="宋体" w:hAnsi="宋体" w:eastAsia="宋体" w:cs="宋体"/>
          <w:color w:val="auto"/>
          <w:sz w:val="24"/>
          <w:szCs w:val="24"/>
          <w:highlight w:val="none"/>
        </w:rPr>
        <w:t>基本农田保护区</w:t>
      </w:r>
      <w:r>
        <w:rPr>
          <w:rStyle w:val="35"/>
          <w:rFonts w:hint="eastAsia" w:ascii="宋体" w:hAnsi="宋体" w:eastAsia="宋体" w:cs="宋体"/>
          <w:color w:val="auto"/>
          <w:sz w:val="24"/>
          <w:szCs w:val="24"/>
          <w:highlight w:val="none"/>
        </w:rPr>
        <w:fldChar w:fldCharType="end"/>
      </w:r>
      <w:r>
        <w:rPr>
          <w:rFonts w:hint="eastAsia" w:ascii="宋体" w:hAnsi="宋体" w:eastAsia="宋体" w:cs="宋体"/>
          <w:sz w:val="24"/>
          <w:szCs w:val="24"/>
          <w:highlight w:val="none"/>
          <w:lang w:bidi="ar"/>
        </w:rPr>
        <w:t>等环境敏感区造成重大不利影响的；</w:t>
      </w:r>
    </w:p>
    <w:p w14:paraId="040FC62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（十）违法从事自然资源开发、交通基础设施建设，以及其他开发建设活动，造成严重生态破坏的；</w:t>
      </w:r>
    </w:p>
    <w:p w14:paraId="6C327BE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（十一）发生较大及以上突发环境事件的；</w:t>
      </w:r>
    </w:p>
    <w:p w14:paraId="67C8E2D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（十二）被环保部门挂牌督办，整改逾期未完成的；</w:t>
      </w:r>
    </w:p>
    <w:p w14:paraId="20B2AD9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（十三）以暴力、威胁等方式拒绝、阻挠环保部门工作人员现场检查的；</w:t>
      </w:r>
    </w:p>
    <w:p w14:paraId="01BB4EA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（十四）违反重污染天气应急预案有关规定，对重污染天气响应不力的。</w:t>
      </w:r>
    </w:p>
    <w:p w14:paraId="09C4543A">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依据：《关于对环境保护领域失信生产经营单位及其有关人员开展联合惩戒的合作备忘录》、《企业环境信用评价办法（试行）》（环发〔2013〕150号）</w:t>
      </w:r>
    </w:p>
    <w:p w14:paraId="4BDFF177">
      <w:pPr>
        <w:spacing w:line="380" w:lineRule="exact"/>
        <w:ind w:firstLine="64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三、</w:t>
      </w:r>
      <w:r>
        <w:rPr>
          <w:rFonts w:hint="eastAsia" w:ascii="宋体" w:hAnsi="宋体" w:eastAsia="宋体" w:cs="宋体"/>
          <w:b/>
          <w:bCs/>
          <w:sz w:val="24"/>
          <w:szCs w:val="24"/>
          <w:highlight w:val="none"/>
          <w:lang w:bidi="ar"/>
        </w:rPr>
        <w:t>公共资源交易领域严重失信行为</w:t>
      </w:r>
    </w:p>
    <w:p w14:paraId="693F3C2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（一）违反法律规定，必须进行招标的项目而不招标的，将必须进行招标的项目化整为零或者以其他任何方式规避招标的； </w:t>
      </w:r>
    </w:p>
    <w:p w14:paraId="39F2D41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（二）招标代理机构违反法律规定，泄露应当保密的与招标投标活动有关的情况和资料的，或者与招标人、投标人串通损害国家利益、社会公共利益或者他人合法权益的；</w:t>
      </w:r>
    </w:p>
    <w:p w14:paraId="33BE89B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（三）招标人以不合理的条件限制或者排斥潜在投标人的，对潜在投标人实行歧视待遇的，强制要求投标人组成联合体共同投标的，或者限制投标人之间竞争的；</w:t>
      </w:r>
    </w:p>
    <w:p w14:paraId="2FB5D66C">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（四）依法必须进行招标的项目的招标人向他人透露已获取招标文件的潜在投标人的名称、数量或者可能影响公平竞争的有关招标投标的其他情况的，或者泄露标底的；</w:t>
      </w:r>
    </w:p>
    <w:p w14:paraId="6DEFB5C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（五）投标人相互串通投标或者与招标人串通投标的，投标人以向招标人或者评标委员会成员行贿的手段谋取中标的； </w:t>
      </w:r>
    </w:p>
    <w:p w14:paraId="201CF373">
      <w:pPr>
        <w:spacing w:line="380" w:lineRule="exact"/>
        <w:ind w:firstLine="763" w:firstLineChars="318"/>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（六）投标人以他人名义投标或者以其他方式弄虚作假，骗取中标的；</w:t>
      </w:r>
    </w:p>
    <w:p w14:paraId="11B45520">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（七）依法必须进行招标的项目，招标人违反法律规定，与投标人就投标价格、投标方案等实质性内容进行谈判的；</w:t>
      </w:r>
    </w:p>
    <w:p w14:paraId="4E32780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（八）评标委员会成员收受投标人的财物或者其他好处的，评标委员会成员或者参加评标的有关工作人员向他人透露对投标文件的评审和比较、中标候选人的推荐以及与评标有关的其他情况的； </w:t>
      </w:r>
    </w:p>
    <w:p w14:paraId="01328DDE">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（九）招标人在评标委员会依法推荐的中标候选人以外确定中标人的，依法必须进行招标的项目在所有投标被评标委员会否决后自行确定中标人的； </w:t>
      </w:r>
    </w:p>
    <w:p w14:paraId="0B79266A">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（十）中标人将中标项目转让给他人的，将中标项目肢解后分别转让给他人的，违反法律规定将中标项目的部分主体、关键性工作分包给他人的，或者分包人再次分包的； </w:t>
      </w:r>
    </w:p>
    <w:p w14:paraId="41C35CC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（十一）招标人与中标人不按照招标文件和中标人的投标文件订立合同的，或者招标人、中标人订立背离合同实质性内容的协议的； </w:t>
      </w:r>
    </w:p>
    <w:p w14:paraId="7ECBA422">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（十二）中标人不按照与招标人订立的合同履行义务，情节严重的； </w:t>
      </w:r>
    </w:p>
    <w:p w14:paraId="6564A057">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三）采购人、采购代理机构存在应当采用公开招标方式而擅自采用其他方式采购，擅自提高采购标准，以不合理的条件对供应商实行差别待遇或者歧视待遇，在招标采购过程中与投标人进行协商谈判，中标、成交通知书发出后不与中标、成交供应商签订采购合同，或者拒绝有关部门依法实施监督检查等情形的；</w:t>
      </w:r>
    </w:p>
    <w:p w14:paraId="60680A56">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十四）采购人、采购代理机构及其工作人员存在与供应商或者采购代理机构恶意串通，在采购过程中接受贿赂或者获取其他不正当利益，在有关部门依法实施的监督检查中提供虚假情况，或者开标前泄露标底等情形的；</w:t>
      </w:r>
    </w:p>
    <w:p w14:paraId="12617231">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（十五）采购人对应当实行集中采购的政府采购项目，不委托集中采购机构实行集中采购的； </w:t>
      </w:r>
    </w:p>
    <w:p w14:paraId="3F667953">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（十六）采购人、采购代理机构违反法律规定隐匿、销毁应当保存的采购文件或者伪造、变造采购文件的； </w:t>
      </w:r>
    </w:p>
    <w:p w14:paraId="59492F7B">
      <w:pPr>
        <w:spacing w:line="380" w:lineRule="exact"/>
        <w:ind w:firstLine="645"/>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七）供应商存在提供虚假材料谋取中标、成交，采取不正当手段诋毁、排挤其他供应商，与采购人、其他供应商或者采购代理机构恶意串通，向采购人、采购代理机构行贿或者提供其他不正当利益，在招标采购过程中与采购人进行协商谈判，或拒绝有关部门监督检查或者提供虚假情况等情形的； </w:t>
      </w:r>
    </w:p>
    <w:p w14:paraId="67AF62B7">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（十八）疫苗生产企业向县级疾病预防控制机构以外的单位或者个人销售第二类疫苗的； </w:t>
      </w:r>
    </w:p>
    <w:p w14:paraId="4E6AE8F0">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（十九）存在其他违反公共资源交易法律法规行为的。</w:t>
      </w:r>
    </w:p>
    <w:p w14:paraId="76770C96">
      <w:pPr>
        <w:spacing w:line="380" w:lineRule="exact"/>
        <w:ind w:firstLine="766" w:firstLineChars="318"/>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依据：《关于对公共资源交易领域严重失信主体开展联合惩戒的备忘录》（发改法规〔2018〕457号）</w:t>
      </w:r>
    </w:p>
    <w:p w14:paraId="502AC8AF">
      <w:pPr>
        <w:spacing w:line="380" w:lineRule="exact"/>
        <w:ind w:firstLine="645"/>
        <w:jc w:val="left"/>
        <w:rPr>
          <w:rFonts w:hint="eastAsia" w:ascii="宋体" w:hAnsi="宋体" w:eastAsia="宋体" w:cs="宋体"/>
          <w:b/>
          <w:bCs/>
          <w:sz w:val="24"/>
          <w:szCs w:val="24"/>
          <w:highlight w:val="none"/>
        </w:rPr>
      </w:pPr>
      <w:r>
        <w:rPr>
          <w:rFonts w:hint="eastAsia" w:ascii="宋体" w:hAnsi="宋体" w:eastAsia="宋体" w:cs="宋体"/>
          <w:b/>
          <w:sz w:val="24"/>
          <w:szCs w:val="24"/>
          <w:highlight w:val="none"/>
          <w:lang w:bidi="ar"/>
        </w:rPr>
        <w:t>四、</w:t>
      </w:r>
      <w:r>
        <w:rPr>
          <w:rFonts w:hint="eastAsia" w:ascii="宋体" w:hAnsi="宋体" w:eastAsia="宋体" w:cs="宋体"/>
          <w:b/>
          <w:bCs/>
          <w:sz w:val="24"/>
          <w:szCs w:val="24"/>
          <w:highlight w:val="none"/>
          <w:lang w:bidi="ar"/>
        </w:rPr>
        <w:t>社会保险领域严重失信行为</w:t>
      </w:r>
    </w:p>
    <w:p w14:paraId="1461B486">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（一）用人单位未按相关规定参加社会保险且拒不整改的； </w:t>
      </w:r>
    </w:p>
    <w:p w14:paraId="03572F15">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（二）用人单位未如实申报社会保险缴费基数且拒不整改的； </w:t>
      </w:r>
    </w:p>
    <w:p w14:paraId="42B5E729">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（三）应缴纳社会保险费却拒不缴纳的； </w:t>
      </w:r>
    </w:p>
    <w:p w14:paraId="5771E204">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（四）隐匿、转移、侵占、挪用社会保险费款、基金或者违规投资运营的；</w:t>
      </w:r>
    </w:p>
    <w:p w14:paraId="46F8904A">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（五）以欺诈、伪造证明材料或者其他手段参加、申报社会保险和骗取社会保险基金支出或社会保险待遇的； </w:t>
      </w:r>
    </w:p>
    <w:p w14:paraId="48C442BF">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（六）非法获取、出售或变相交易社会保险个人权益数据的； </w:t>
      </w:r>
    </w:p>
    <w:p w14:paraId="2C416763">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（七）社会保险服务机构违反服务协议或相关规定的； </w:t>
      </w:r>
    </w:p>
    <w:p w14:paraId="64281E2C">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721A7CAF">
      <w:pPr>
        <w:spacing w:line="380" w:lineRule="exact"/>
        <w:ind w:left="765" w:leftChars="307" w:hanging="120" w:hanging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（九）其他违反法律法规规定的。</w:t>
      </w:r>
    </w:p>
    <w:p w14:paraId="7D2E4BB1">
      <w:pPr>
        <w:spacing w:line="380" w:lineRule="exact"/>
        <w:ind w:left="1200" w:leftChars="342" w:hanging="482" w:hanging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依据：《关于对社会保险领域严重失信企业及其有关人员实施联合惩戒的合作备忘录》（发改财金〔2018〕1704号）</w:t>
      </w:r>
    </w:p>
    <w:p w14:paraId="741ACAE5">
      <w:pPr>
        <w:spacing w:line="380" w:lineRule="exact"/>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lang w:bidi="ar"/>
        </w:rPr>
        <w:t xml:space="preserve">     </w:t>
      </w:r>
      <w:r>
        <w:rPr>
          <w:rFonts w:hint="eastAsia" w:ascii="宋体" w:hAnsi="宋体" w:eastAsia="宋体" w:cs="宋体"/>
          <w:b/>
          <w:sz w:val="24"/>
          <w:szCs w:val="24"/>
          <w:highlight w:val="none"/>
          <w:lang w:bidi="ar"/>
        </w:rPr>
        <w:t>五、建筑市场领域</w:t>
      </w:r>
      <w:r>
        <w:rPr>
          <w:rFonts w:hint="eastAsia" w:ascii="宋体" w:hAnsi="宋体" w:eastAsia="宋体" w:cs="宋体"/>
          <w:b/>
          <w:bCs/>
          <w:sz w:val="24"/>
          <w:szCs w:val="24"/>
          <w:highlight w:val="none"/>
          <w:lang w:bidi="ar"/>
        </w:rPr>
        <w:t>严重失信行为</w:t>
      </w:r>
    </w:p>
    <w:p w14:paraId="42E6AE4C">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（一）利用虚假材料、以欺骗手段取得企业资质的；</w:t>
      </w:r>
    </w:p>
    <w:p w14:paraId="26B9843C">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（二）发生转包、出借资质，受到行政处罚的；</w:t>
      </w:r>
    </w:p>
    <w:p w14:paraId="3612B77B">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0715C0AE">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（四）经法院判决或仲裁机构裁决，认定为拖欠工程款,且拒不履行生效法律文书确定的义务的。</w:t>
      </w:r>
    </w:p>
    <w:p w14:paraId="688D8244">
      <w:pPr>
        <w:spacing w:line="3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各级住房城乡建设主管部门应当参照建筑市场主体“黑名单”，对被人力资源社会保障主管部门列入拖欠农民工工资“黑名单”的建筑市场各方主体加强监管。</w:t>
      </w:r>
    </w:p>
    <w:p w14:paraId="17CB473E">
      <w:pPr>
        <w:spacing w:line="38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依据：《建筑市场信用管理暂行办法》（建市〔2017〕241号）</w:t>
      </w:r>
    </w:p>
    <w:p w14:paraId="6C78D583">
      <w:pPr>
        <w:spacing w:line="38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lang w:bidi="ar"/>
        </w:rPr>
        <w:t>六、政府采购严重失信行为</w:t>
      </w:r>
    </w:p>
    <w:p w14:paraId="72A3E112">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供应商、采购代理机构在三年内受到财政部门作出下列情形之一的行政处罚，列入政府采购严重违法失信行为记录名单。</w:t>
      </w:r>
    </w:p>
    <w:p w14:paraId="13FE71B1">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（一）三万元以上罚款；</w:t>
      </w:r>
    </w:p>
    <w:p w14:paraId="235C5A69">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（二）在一至三年内禁止参加政府采购活动（处罚期限届满的除外）；</w:t>
      </w:r>
    </w:p>
    <w:p w14:paraId="29053015">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（三）在一至三年内禁止代理政府采购业务（处罚期限届满的除外）；</w:t>
      </w:r>
    </w:p>
    <w:p w14:paraId="47126979">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（四）撤销政府采购代理机构资格（仅针对《政府采购法》第78条修改前作出的处罚决定）。</w:t>
      </w:r>
    </w:p>
    <w:p w14:paraId="28652A9D">
      <w:pPr>
        <w:spacing w:line="38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bidi="ar"/>
        </w:rPr>
        <w:t>依据：《关于报送政府采购严重违法失信行为信息记录的通知》</w:t>
      </w:r>
      <w:r>
        <w:rPr>
          <w:rFonts w:hint="eastAsia" w:ascii="宋体" w:hAnsi="宋体" w:eastAsia="宋体" w:cs="宋体"/>
          <w:b/>
          <w:sz w:val="24"/>
          <w:szCs w:val="24"/>
          <w:highlight w:val="none"/>
          <w:lang w:bidi="ar"/>
        </w:rPr>
        <w:t>（财办库〔2014〕526号）</w:t>
      </w:r>
    </w:p>
    <w:p w14:paraId="4C2092D7">
      <w:pPr>
        <w:spacing w:line="3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七、水利建设领域严重失信行为</w:t>
      </w:r>
    </w:p>
    <w:p w14:paraId="18AE18BA">
      <w:pPr>
        <w:pStyle w:val="21"/>
        <w:widowControl/>
        <w:shd w:val="clear" w:color="auto" w:fill="FFFFFF"/>
        <w:spacing w:before="0" w:beforeAutospacing="0" w:after="0" w:afterAutospacing="0" w:line="380" w:lineRule="exact"/>
        <w:ind w:firstLine="480" w:firstLineChars="200"/>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（一）1年内不良行为记录累计扣分达到20分的；</w:t>
      </w:r>
    </w:p>
    <w:p w14:paraId="69F74A25">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（二）"重点关注名单"公开期满后仍不整改的；</w:t>
      </w:r>
    </w:p>
    <w:p w14:paraId="4EE45E95">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（三）存在以下严重危害人民群众身体健康、生命安全和工程质量，以及特别严重违规行为之一的：</w:t>
      </w:r>
    </w:p>
    <w:p w14:paraId="2A0D5E9C">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1.发生重大、特大质量或安全事故，并负有直接责任的；</w:t>
      </w:r>
    </w:p>
    <w:p w14:paraId="5DF35066">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2.在单位公开信息、工程相关技术成果和工程建设过程中隐瞒真实情况、弄虚作假，提供虚假材料，谋取不正当利益的；</w:t>
      </w:r>
    </w:p>
    <w:p w14:paraId="5A604F1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3.违反有关法律、法规、规章、政策、技术标准、设计文件、合同等有关规定开展工作造成的工程质量问题，经处理后仍影响工程正常使用或减少工程使用寿命的；</w:t>
      </w:r>
    </w:p>
    <w:p w14:paraId="3BC61C3D">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4.违反规定施工，造成生态环境严重破坏且拒不修复的；</w:t>
      </w:r>
    </w:p>
    <w:p w14:paraId="3A361A9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5.被证实恶意制造工程质量缺陷或质量隐患的；</w:t>
      </w:r>
    </w:p>
    <w:p w14:paraId="48A5EE50">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6.其他违反法律法规，造成严重后果或社会危害较大的。</w:t>
      </w:r>
    </w:p>
    <w:p w14:paraId="20B45166">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（四）存在以下严重破坏市场公平竞争秩序和社会正常秩序行为之一的：</w:t>
      </w:r>
    </w:p>
    <w:p w14:paraId="40A383D5">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1.不按合同约定，恶意拖欠承包人项目款的；</w:t>
      </w:r>
    </w:p>
    <w:p w14:paraId="5C054AAF">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2.隐瞒有关情况或者提供虚假材料申请资质的，在全国水利建设市场监管服务平台公开虚假信息的，以欺骗、贿赂等不正当手段取得资质等级证书的；</w:t>
      </w:r>
    </w:p>
    <w:p w14:paraId="520F0047">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3.出借、借用资质证书,允许他人以本单位名义或借用他人名义等弄虚作假方式承揽业务的；</w:t>
      </w:r>
    </w:p>
    <w:p w14:paraId="248A826E">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4.未取得相应资质或超越资质证书核定范围、营业范围承揽业务的；</w:t>
      </w:r>
    </w:p>
    <w:p w14:paraId="70BA793E">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5.操纵招标过程，谋取不正当利益的；</w:t>
      </w:r>
    </w:p>
    <w:p w14:paraId="3CCA4412">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6.与招标人或投标人串通投标的；</w:t>
      </w:r>
    </w:p>
    <w:p w14:paraId="36A24CD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7.以向招标人或评标委员会成员行贿的手段谋取中标的；</w:t>
      </w:r>
    </w:p>
    <w:p w14:paraId="0B69C572">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8.中标后，无正当理由不签订合同的；</w:t>
      </w:r>
    </w:p>
    <w:p w14:paraId="73C85FE2">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9.转包或违法分包所承揽业务的；</w:t>
      </w:r>
    </w:p>
    <w:p w14:paraId="69134727">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10.弄虚作假，以欺诈手段降低工程或设备质量的；</w:t>
      </w:r>
    </w:p>
    <w:p w14:paraId="239D8C4B">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11.单位行贿、受贿，受到刑事处罚的；</w:t>
      </w:r>
    </w:p>
    <w:p w14:paraId="6E1BED03">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12.逃税骗税、恶意逃废债务的；</w:t>
      </w:r>
    </w:p>
    <w:p w14:paraId="40608F24">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13.参与非法集资，受到刑事处罚的；</w:t>
      </w:r>
    </w:p>
    <w:p w14:paraId="53602614">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14.在签订、履行合同过程中，存在合同欺诈行为，受到刑事处罚的；</w:t>
      </w:r>
    </w:p>
    <w:p w14:paraId="2AA1AA7A">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15.虚构工程项目，套取资金的；</w:t>
      </w:r>
    </w:p>
    <w:p w14:paraId="1715E2AA">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16.克扣、无故拖欠农民工工资报酬，数额达到认定拒不支付劳动报酬罪数额标准的；</w:t>
      </w:r>
    </w:p>
    <w:p w14:paraId="3DA54D27">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17.发生社会公共事件，影响较大，并负有直接责任的。</w:t>
      </w:r>
    </w:p>
    <w:p w14:paraId="098DB041">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（五）存在以下拒不履行法定义务，严重影响司法机关、行政机关公信力行为之一的：</w:t>
      </w:r>
    </w:p>
    <w:p w14:paraId="1BAF7459">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1.发生事故拒绝接受调查或拒绝提供有关资料的；</w:t>
      </w:r>
    </w:p>
    <w:p w14:paraId="350F3FCB">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2.拒不执行生效的行政处罚决定的；</w:t>
      </w:r>
    </w:p>
    <w:p w14:paraId="250F10D6">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3.拒不执行仲裁、法院判决结果的。</w:t>
      </w:r>
    </w:p>
    <w:p w14:paraId="4E059D29">
      <w:pPr>
        <w:pStyle w:val="21"/>
        <w:widowControl/>
        <w:shd w:val="clear" w:color="auto" w:fill="FFFFFF"/>
        <w:spacing w:before="0" w:beforeAutospacing="0" w:after="0" w:afterAutospacing="0" w:line="380" w:lineRule="exact"/>
        <w:rPr>
          <w:rFonts w:hint="eastAsia" w:ascii="宋体" w:hAnsi="宋体" w:eastAsia="宋体" w:cs="宋体"/>
          <w:kern w:val="2"/>
          <w:szCs w:val="24"/>
          <w:highlight w:val="none"/>
          <w:shd w:val="clear" w:color="auto" w:fill="FFFFFF"/>
        </w:rPr>
      </w:pPr>
      <w:r>
        <w:rPr>
          <w:rFonts w:hint="eastAsia" w:ascii="宋体" w:hAnsi="宋体" w:eastAsia="宋体" w:cs="宋体"/>
          <w:kern w:val="2"/>
          <w:szCs w:val="24"/>
          <w:highlight w:val="none"/>
          <w:shd w:val="clear" w:color="auto" w:fill="FFFFFF"/>
          <w:lang w:bidi="ar"/>
        </w:rPr>
        <w:t xml:space="preserve">  （六）被相关联合惩戒部门列入"黑名单"，符合联合惩戒措施的。</w:t>
      </w:r>
    </w:p>
    <w:p w14:paraId="486B094F">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生产建设项目水土保持市场主体"黑名单"列入标准见《水利建设市场主体信用信息管理办法》附件。</w:t>
      </w:r>
    </w:p>
    <w:p w14:paraId="4D50E641">
      <w:pPr>
        <w:spacing w:line="380" w:lineRule="exact"/>
        <w:ind w:firstLine="615"/>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bidi="ar"/>
        </w:rPr>
        <w:t>依据：《水利建设市场主体信用评价管理办法》水建设〔2019〕307号、《水利建设市场主体信用信息管理办法》水建设〔2019〕306号</w:t>
      </w:r>
    </w:p>
    <w:p w14:paraId="339E1B30">
      <w:pPr>
        <w:spacing w:line="380" w:lineRule="exact"/>
        <w:ind w:firstLine="615"/>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 xml:space="preserve"> </w:t>
      </w:r>
    </w:p>
    <w:p w14:paraId="5385D687">
      <w:pPr>
        <w:spacing w:line="380" w:lineRule="exact"/>
        <w:ind w:firstLine="615"/>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未列出的其他类别严重失信行为，由招标人（代理机构）根据各类别行业主管部门下发的联合惩戒文件进行判断。</w:t>
      </w:r>
    </w:p>
    <w:p w14:paraId="5083EDEE">
      <w:pPr>
        <w:spacing w:line="380" w:lineRule="exact"/>
        <w:ind w:firstLine="487" w:firstLineChars="202"/>
        <w:rPr>
          <w:rFonts w:hint="eastAsia" w:ascii="宋体" w:hAnsi="宋体" w:eastAsia="宋体" w:cs="宋体"/>
          <w:b/>
          <w:sz w:val="24"/>
          <w:szCs w:val="24"/>
          <w:highlight w:val="none"/>
        </w:rPr>
      </w:pPr>
      <w:r>
        <w:rPr>
          <w:rFonts w:hint="eastAsia" w:ascii="宋体" w:hAnsi="宋体" w:eastAsia="宋体" w:cs="宋体"/>
          <w:b/>
          <w:sz w:val="24"/>
          <w:szCs w:val="24"/>
          <w:highlight w:val="none"/>
          <w:lang w:bidi="ar"/>
        </w:rPr>
        <w:t xml:space="preserve"> </w:t>
      </w:r>
    </w:p>
    <w:p w14:paraId="704BAB16">
      <w:pPr>
        <w:spacing w:line="360" w:lineRule="auto"/>
        <w:ind w:firstLine="435"/>
        <w:rPr>
          <w:rFonts w:hint="eastAsia" w:ascii="宋体" w:hAnsi="宋体" w:eastAsia="宋体" w:cs="宋体"/>
          <w:sz w:val="24"/>
          <w:szCs w:val="24"/>
          <w:highlight w:val="none"/>
        </w:rPr>
      </w:pPr>
    </w:p>
    <w:p w14:paraId="1F194A8F">
      <w:pPr>
        <w:spacing w:line="360" w:lineRule="auto"/>
        <w:rPr>
          <w:rFonts w:hint="eastAsia" w:ascii="宋体" w:hAnsi="宋体" w:eastAsia="宋体" w:cs="宋体"/>
          <w:sz w:val="24"/>
          <w:szCs w:val="24"/>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_GB2312">
    <w:altName w:val="仿宋"/>
    <w:panose1 w:val="03000509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73B34">
    <w:pPr>
      <w:pStyle w:val="16"/>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2335">
    <w:pPr>
      <w:pStyle w:val="1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0D24E">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w:t>
                          </w:r>
                          <w:r>
                            <w:rPr>
                              <w:rFonts w:hint="eastAsia" w:ascii="宋体" w:hAnsi="宋体" w:eastAsia="宋体" w:cs="宋体"/>
                              <w:sz w:val="21"/>
                              <w:szCs w:val="21"/>
                              <w:lang w:val="en-US" w:eastAsia="zh-CN"/>
                            </w:rPr>
                            <w:t>55</w:t>
                          </w:r>
                          <w:r>
                            <w:rPr>
                              <w:rFonts w:hint="eastAsia" w:ascii="宋体" w:hAnsi="宋体" w:eastAsia="宋体" w:cs="宋体"/>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640D24E">
                    <w:pPr>
                      <w:pStyle w:val="1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w:t>
                    </w:r>
                    <w:r>
                      <w:rPr>
                        <w:rFonts w:hint="eastAsia" w:ascii="宋体" w:hAnsi="宋体" w:eastAsia="宋体" w:cs="宋体"/>
                        <w:sz w:val="21"/>
                        <w:szCs w:val="21"/>
                        <w:lang w:val="en-US" w:eastAsia="zh-CN"/>
                      </w:rPr>
                      <w:t>55</w:t>
                    </w:r>
                    <w:r>
                      <w:rPr>
                        <w:rFonts w:hint="eastAsia" w:ascii="宋体" w:hAnsi="宋体" w:eastAsia="宋体" w:cs="宋体"/>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8458C">
    <w:pPr>
      <w:pStyle w:val="17"/>
      <w:jc w:val="left"/>
      <w:rPr>
        <w:rFonts w:hint="eastAsia" w:asciiTheme="minorEastAsia" w:hAnsiTheme="minorEastAsia" w:eastAsiaTheme="minorEastAsia"/>
      </w:rPr>
    </w:pPr>
    <w:r>
      <w:rPr>
        <w:rFonts w:hint="eastAsia" w:asciiTheme="minorEastAsia" w:hAnsiTheme="minorEastAsia" w:eastAsiaTheme="minorEastAsia"/>
      </w:rPr>
      <w:t>安徽省政府采购项目公开招标文件示范文本（</w:t>
    </w:r>
    <w:r>
      <w:rPr>
        <w:rFonts w:hint="eastAsia" w:asciiTheme="minorEastAsia" w:hAnsiTheme="minorEastAsia" w:eastAsiaTheme="minorEastAsia"/>
        <w:lang w:val="en-US" w:eastAsia="zh-CN"/>
      </w:rPr>
      <w:t>服务</w:t>
    </w:r>
    <w:r>
      <w:rPr>
        <w:rFonts w:hint="eastAsia" w:asciiTheme="minorEastAsia" w:hAnsiTheme="minorEastAsia" w:eastAsiaTheme="minorEastAsia"/>
      </w:rPr>
      <w:t>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35E65">
    <w:pPr>
      <w:pStyle w:val="17"/>
      <w:jc w:val="left"/>
      <w:rPr>
        <w:rFonts w:hint="eastAsia"/>
      </w:rPr>
    </w:pPr>
    <w:r>
      <w:rPr>
        <w:rFonts w:hint="eastAsia" w:asciiTheme="minorEastAsia" w:hAnsiTheme="minorEastAsia" w:eastAsiaTheme="minorEastAsia"/>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12CC9"/>
    <w:multiLevelType w:val="multilevel"/>
    <w:tmpl w:val="54D12CC9"/>
    <w:lvl w:ilvl="0" w:tentative="0">
      <w:start w:val="2"/>
      <w:numFmt w:val="japaneseCounting"/>
      <w:lvlText w:val="%1、"/>
      <w:lvlJc w:val="left"/>
      <w:pPr>
        <w:ind w:left="982" w:hanging="5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ZTY3N2FlNWMzMGQ4ODJjZjNiMzAzNjYzMGVjZmMifQ=="/>
  </w:docVars>
  <w:rsids>
    <w:rsidRoot w:val="00276BA1"/>
    <w:rsid w:val="0000043F"/>
    <w:rsid w:val="00003F56"/>
    <w:rsid w:val="000049DA"/>
    <w:rsid w:val="00004F40"/>
    <w:rsid w:val="000056B7"/>
    <w:rsid w:val="00012A13"/>
    <w:rsid w:val="000131F7"/>
    <w:rsid w:val="00016B6C"/>
    <w:rsid w:val="00017EC7"/>
    <w:rsid w:val="00020B57"/>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6A70"/>
    <w:rsid w:val="0012143A"/>
    <w:rsid w:val="001222C6"/>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B21DF"/>
    <w:rsid w:val="001B2A54"/>
    <w:rsid w:val="001B5014"/>
    <w:rsid w:val="001B7327"/>
    <w:rsid w:val="001C1409"/>
    <w:rsid w:val="001C67F2"/>
    <w:rsid w:val="001D53B4"/>
    <w:rsid w:val="001E744D"/>
    <w:rsid w:val="001F28D2"/>
    <w:rsid w:val="001F2F45"/>
    <w:rsid w:val="001F3023"/>
    <w:rsid w:val="001F35F6"/>
    <w:rsid w:val="001F74CA"/>
    <w:rsid w:val="002003B6"/>
    <w:rsid w:val="002020CB"/>
    <w:rsid w:val="002049B4"/>
    <w:rsid w:val="0020520B"/>
    <w:rsid w:val="00213C55"/>
    <w:rsid w:val="0021639A"/>
    <w:rsid w:val="002163CF"/>
    <w:rsid w:val="002168C4"/>
    <w:rsid w:val="002178B1"/>
    <w:rsid w:val="00223CF4"/>
    <w:rsid w:val="00224C4A"/>
    <w:rsid w:val="002338E2"/>
    <w:rsid w:val="0023407E"/>
    <w:rsid w:val="00240B40"/>
    <w:rsid w:val="002440D8"/>
    <w:rsid w:val="00244182"/>
    <w:rsid w:val="00245F65"/>
    <w:rsid w:val="00246810"/>
    <w:rsid w:val="00260860"/>
    <w:rsid w:val="00260B94"/>
    <w:rsid w:val="00264F2E"/>
    <w:rsid w:val="00271245"/>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73A96"/>
    <w:rsid w:val="003826C2"/>
    <w:rsid w:val="00383728"/>
    <w:rsid w:val="00383B8D"/>
    <w:rsid w:val="00391586"/>
    <w:rsid w:val="00394128"/>
    <w:rsid w:val="003947A4"/>
    <w:rsid w:val="00395235"/>
    <w:rsid w:val="0039561A"/>
    <w:rsid w:val="00397C7D"/>
    <w:rsid w:val="003A004F"/>
    <w:rsid w:val="003B4130"/>
    <w:rsid w:val="003B67D3"/>
    <w:rsid w:val="003B6C76"/>
    <w:rsid w:val="003B715B"/>
    <w:rsid w:val="003C4630"/>
    <w:rsid w:val="003D1D14"/>
    <w:rsid w:val="003D6C7C"/>
    <w:rsid w:val="003D6EFB"/>
    <w:rsid w:val="003D7E52"/>
    <w:rsid w:val="003E25C6"/>
    <w:rsid w:val="003E6BEB"/>
    <w:rsid w:val="003F145B"/>
    <w:rsid w:val="003F2122"/>
    <w:rsid w:val="003F326A"/>
    <w:rsid w:val="004011AA"/>
    <w:rsid w:val="0040202C"/>
    <w:rsid w:val="00406508"/>
    <w:rsid w:val="0041456E"/>
    <w:rsid w:val="00414F7E"/>
    <w:rsid w:val="004164F8"/>
    <w:rsid w:val="00417FD0"/>
    <w:rsid w:val="00420B7F"/>
    <w:rsid w:val="004234BA"/>
    <w:rsid w:val="0042488B"/>
    <w:rsid w:val="004427B7"/>
    <w:rsid w:val="0044349F"/>
    <w:rsid w:val="00445F1F"/>
    <w:rsid w:val="00451F60"/>
    <w:rsid w:val="00452BB2"/>
    <w:rsid w:val="00455467"/>
    <w:rsid w:val="0045656D"/>
    <w:rsid w:val="00462D98"/>
    <w:rsid w:val="00472A44"/>
    <w:rsid w:val="00473A89"/>
    <w:rsid w:val="00474D3B"/>
    <w:rsid w:val="00475899"/>
    <w:rsid w:val="004802A8"/>
    <w:rsid w:val="00482C78"/>
    <w:rsid w:val="004874AE"/>
    <w:rsid w:val="00487865"/>
    <w:rsid w:val="00492E2B"/>
    <w:rsid w:val="00494D24"/>
    <w:rsid w:val="004951D1"/>
    <w:rsid w:val="004A27D0"/>
    <w:rsid w:val="004A4D67"/>
    <w:rsid w:val="004A6FD2"/>
    <w:rsid w:val="004B2D4C"/>
    <w:rsid w:val="004C7378"/>
    <w:rsid w:val="004D1030"/>
    <w:rsid w:val="004D3D4B"/>
    <w:rsid w:val="004D5498"/>
    <w:rsid w:val="004D66A5"/>
    <w:rsid w:val="004D6B00"/>
    <w:rsid w:val="004D7951"/>
    <w:rsid w:val="004E0AE0"/>
    <w:rsid w:val="004E1D50"/>
    <w:rsid w:val="004E502F"/>
    <w:rsid w:val="004F0396"/>
    <w:rsid w:val="00501382"/>
    <w:rsid w:val="00503E2F"/>
    <w:rsid w:val="005054B9"/>
    <w:rsid w:val="00506E4F"/>
    <w:rsid w:val="00510798"/>
    <w:rsid w:val="00514ED8"/>
    <w:rsid w:val="00515F12"/>
    <w:rsid w:val="00522B2E"/>
    <w:rsid w:val="00524A11"/>
    <w:rsid w:val="00527768"/>
    <w:rsid w:val="005327FB"/>
    <w:rsid w:val="00533FCA"/>
    <w:rsid w:val="00541C0B"/>
    <w:rsid w:val="0054317E"/>
    <w:rsid w:val="00544C2A"/>
    <w:rsid w:val="00546D49"/>
    <w:rsid w:val="00556D4C"/>
    <w:rsid w:val="005614B4"/>
    <w:rsid w:val="005616B5"/>
    <w:rsid w:val="00571315"/>
    <w:rsid w:val="00582075"/>
    <w:rsid w:val="00584A63"/>
    <w:rsid w:val="00585EB3"/>
    <w:rsid w:val="00586E85"/>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CF1"/>
    <w:rsid w:val="00703635"/>
    <w:rsid w:val="007054AA"/>
    <w:rsid w:val="00706D4B"/>
    <w:rsid w:val="00707B8C"/>
    <w:rsid w:val="00710804"/>
    <w:rsid w:val="00711FC6"/>
    <w:rsid w:val="007130B1"/>
    <w:rsid w:val="00715071"/>
    <w:rsid w:val="0072140F"/>
    <w:rsid w:val="007231E9"/>
    <w:rsid w:val="00727C59"/>
    <w:rsid w:val="00734E5D"/>
    <w:rsid w:val="00735AF1"/>
    <w:rsid w:val="00736013"/>
    <w:rsid w:val="00737661"/>
    <w:rsid w:val="00755D75"/>
    <w:rsid w:val="00756245"/>
    <w:rsid w:val="0076130F"/>
    <w:rsid w:val="00761662"/>
    <w:rsid w:val="00764043"/>
    <w:rsid w:val="007757CF"/>
    <w:rsid w:val="00776FFC"/>
    <w:rsid w:val="0078128F"/>
    <w:rsid w:val="0078683C"/>
    <w:rsid w:val="00790EDB"/>
    <w:rsid w:val="00791538"/>
    <w:rsid w:val="007918F0"/>
    <w:rsid w:val="0079326E"/>
    <w:rsid w:val="007946E7"/>
    <w:rsid w:val="00796EDE"/>
    <w:rsid w:val="00797A02"/>
    <w:rsid w:val="007A27A9"/>
    <w:rsid w:val="007A5A58"/>
    <w:rsid w:val="007A6740"/>
    <w:rsid w:val="007B19A1"/>
    <w:rsid w:val="007B1C56"/>
    <w:rsid w:val="007B4996"/>
    <w:rsid w:val="007B6F5B"/>
    <w:rsid w:val="007C3CD5"/>
    <w:rsid w:val="007C61EF"/>
    <w:rsid w:val="007D1C0D"/>
    <w:rsid w:val="007D2D23"/>
    <w:rsid w:val="007D7644"/>
    <w:rsid w:val="007E27D6"/>
    <w:rsid w:val="007E3921"/>
    <w:rsid w:val="007E5DDE"/>
    <w:rsid w:val="00801028"/>
    <w:rsid w:val="00802CE2"/>
    <w:rsid w:val="00803793"/>
    <w:rsid w:val="0080643F"/>
    <w:rsid w:val="00814052"/>
    <w:rsid w:val="008149FD"/>
    <w:rsid w:val="00817A01"/>
    <w:rsid w:val="00824F21"/>
    <w:rsid w:val="0082500C"/>
    <w:rsid w:val="00825E35"/>
    <w:rsid w:val="008334F8"/>
    <w:rsid w:val="008341AA"/>
    <w:rsid w:val="00835D8E"/>
    <w:rsid w:val="008372F6"/>
    <w:rsid w:val="008377CA"/>
    <w:rsid w:val="00844D03"/>
    <w:rsid w:val="00847B0F"/>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7932"/>
    <w:rsid w:val="008C4704"/>
    <w:rsid w:val="008C67F2"/>
    <w:rsid w:val="008D064A"/>
    <w:rsid w:val="008D0FDB"/>
    <w:rsid w:val="008D2B0F"/>
    <w:rsid w:val="008D30BC"/>
    <w:rsid w:val="008D4BC4"/>
    <w:rsid w:val="008E3114"/>
    <w:rsid w:val="008E449E"/>
    <w:rsid w:val="008E7062"/>
    <w:rsid w:val="008F187F"/>
    <w:rsid w:val="008F402F"/>
    <w:rsid w:val="008F55FA"/>
    <w:rsid w:val="008F76E8"/>
    <w:rsid w:val="008F7CD0"/>
    <w:rsid w:val="00902902"/>
    <w:rsid w:val="00902A4B"/>
    <w:rsid w:val="009078A1"/>
    <w:rsid w:val="00911E9C"/>
    <w:rsid w:val="00915083"/>
    <w:rsid w:val="00917405"/>
    <w:rsid w:val="00920035"/>
    <w:rsid w:val="00920F7C"/>
    <w:rsid w:val="00934CAE"/>
    <w:rsid w:val="0094257D"/>
    <w:rsid w:val="00942F60"/>
    <w:rsid w:val="0095211B"/>
    <w:rsid w:val="0095467C"/>
    <w:rsid w:val="00954A61"/>
    <w:rsid w:val="00955C6F"/>
    <w:rsid w:val="00966C7B"/>
    <w:rsid w:val="009701DC"/>
    <w:rsid w:val="009715D8"/>
    <w:rsid w:val="00980D0D"/>
    <w:rsid w:val="00985C4B"/>
    <w:rsid w:val="00995BF9"/>
    <w:rsid w:val="00997C3C"/>
    <w:rsid w:val="009A0CAF"/>
    <w:rsid w:val="009A1474"/>
    <w:rsid w:val="009A2207"/>
    <w:rsid w:val="009A5147"/>
    <w:rsid w:val="009A74C4"/>
    <w:rsid w:val="009B02D2"/>
    <w:rsid w:val="009B6C42"/>
    <w:rsid w:val="009D31F7"/>
    <w:rsid w:val="009D32C2"/>
    <w:rsid w:val="009D50DB"/>
    <w:rsid w:val="009E3A0A"/>
    <w:rsid w:val="009F26D4"/>
    <w:rsid w:val="009F3E91"/>
    <w:rsid w:val="009F6CE7"/>
    <w:rsid w:val="009F7D7D"/>
    <w:rsid w:val="00A01670"/>
    <w:rsid w:val="00A1499B"/>
    <w:rsid w:val="00A20879"/>
    <w:rsid w:val="00A20AFC"/>
    <w:rsid w:val="00A23E47"/>
    <w:rsid w:val="00A314C2"/>
    <w:rsid w:val="00A43B9C"/>
    <w:rsid w:val="00A53155"/>
    <w:rsid w:val="00A56FFA"/>
    <w:rsid w:val="00A63E86"/>
    <w:rsid w:val="00A65A1C"/>
    <w:rsid w:val="00A757C3"/>
    <w:rsid w:val="00A75E5B"/>
    <w:rsid w:val="00A7684A"/>
    <w:rsid w:val="00A773A2"/>
    <w:rsid w:val="00A82AED"/>
    <w:rsid w:val="00A83B69"/>
    <w:rsid w:val="00A86533"/>
    <w:rsid w:val="00A91176"/>
    <w:rsid w:val="00A9176A"/>
    <w:rsid w:val="00A91CA2"/>
    <w:rsid w:val="00A92FB8"/>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39E3"/>
    <w:rsid w:val="00B043C1"/>
    <w:rsid w:val="00B22838"/>
    <w:rsid w:val="00B27D52"/>
    <w:rsid w:val="00B32BC1"/>
    <w:rsid w:val="00B33E95"/>
    <w:rsid w:val="00B34EE1"/>
    <w:rsid w:val="00B35B5E"/>
    <w:rsid w:val="00B3720B"/>
    <w:rsid w:val="00B40EE3"/>
    <w:rsid w:val="00B4535A"/>
    <w:rsid w:val="00B55271"/>
    <w:rsid w:val="00B5558A"/>
    <w:rsid w:val="00B56513"/>
    <w:rsid w:val="00B56B2E"/>
    <w:rsid w:val="00B64376"/>
    <w:rsid w:val="00B71533"/>
    <w:rsid w:val="00B7401F"/>
    <w:rsid w:val="00B806C3"/>
    <w:rsid w:val="00B838F5"/>
    <w:rsid w:val="00B84FCA"/>
    <w:rsid w:val="00B9089F"/>
    <w:rsid w:val="00B91AEE"/>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F376F"/>
    <w:rsid w:val="00BF46A6"/>
    <w:rsid w:val="00BF62CF"/>
    <w:rsid w:val="00BF6B98"/>
    <w:rsid w:val="00BF73D6"/>
    <w:rsid w:val="00C06545"/>
    <w:rsid w:val="00C1161C"/>
    <w:rsid w:val="00C17F66"/>
    <w:rsid w:val="00C220FC"/>
    <w:rsid w:val="00C23C86"/>
    <w:rsid w:val="00C24DFA"/>
    <w:rsid w:val="00C30909"/>
    <w:rsid w:val="00C35561"/>
    <w:rsid w:val="00C4202A"/>
    <w:rsid w:val="00C4211F"/>
    <w:rsid w:val="00C46A36"/>
    <w:rsid w:val="00C47037"/>
    <w:rsid w:val="00C53625"/>
    <w:rsid w:val="00C602C1"/>
    <w:rsid w:val="00C61C98"/>
    <w:rsid w:val="00C63FC0"/>
    <w:rsid w:val="00C66392"/>
    <w:rsid w:val="00C74C5E"/>
    <w:rsid w:val="00C77487"/>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2486"/>
    <w:rsid w:val="00CE4913"/>
    <w:rsid w:val="00CE66BD"/>
    <w:rsid w:val="00CF0671"/>
    <w:rsid w:val="00CF44AD"/>
    <w:rsid w:val="00CF4FC0"/>
    <w:rsid w:val="00CF7642"/>
    <w:rsid w:val="00D03909"/>
    <w:rsid w:val="00D1072F"/>
    <w:rsid w:val="00D108A5"/>
    <w:rsid w:val="00D14585"/>
    <w:rsid w:val="00D20EFF"/>
    <w:rsid w:val="00D308FD"/>
    <w:rsid w:val="00D30F1B"/>
    <w:rsid w:val="00D30FC0"/>
    <w:rsid w:val="00D34F0D"/>
    <w:rsid w:val="00D3516E"/>
    <w:rsid w:val="00D4064C"/>
    <w:rsid w:val="00D451E5"/>
    <w:rsid w:val="00D47F9F"/>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6779"/>
    <w:rsid w:val="00D86EE1"/>
    <w:rsid w:val="00D9120E"/>
    <w:rsid w:val="00D913B1"/>
    <w:rsid w:val="00D93793"/>
    <w:rsid w:val="00D96126"/>
    <w:rsid w:val="00DB4B1C"/>
    <w:rsid w:val="00DB5085"/>
    <w:rsid w:val="00DB7706"/>
    <w:rsid w:val="00DC1062"/>
    <w:rsid w:val="00DC132C"/>
    <w:rsid w:val="00DC774B"/>
    <w:rsid w:val="00DD43F0"/>
    <w:rsid w:val="00DD44DE"/>
    <w:rsid w:val="00DE09AB"/>
    <w:rsid w:val="00DE4A3F"/>
    <w:rsid w:val="00DE4E53"/>
    <w:rsid w:val="00DE7AE9"/>
    <w:rsid w:val="00DF42C4"/>
    <w:rsid w:val="00DF4367"/>
    <w:rsid w:val="00E0574A"/>
    <w:rsid w:val="00E1243D"/>
    <w:rsid w:val="00E12742"/>
    <w:rsid w:val="00E12E4A"/>
    <w:rsid w:val="00E146D4"/>
    <w:rsid w:val="00E20976"/>
    <w:rsid w:val="00E22079"/>
    <w:rsid w:val="00E22B44"/>
    <w:rsid w:val="00E236D8"/>
    <w:rsid w:val="00E30ACD"/>
    <w:rsid w:val="00E3184B"/>
    <w:rsid w:val="00E32735"/>
    <w:rsid w:val="00E5391D"/>
    <w:rsid w:val="00E544E5"/>
    <w:rsid w:val="00E66E36"/>
    <w:rsid w:val="00E6781E"/>
    <w:rsid w:val="00E702ED"/>
    <w:rsid w:val="00E705CC"/>
    <w:rsid w:val="00E709A4"/>
    <w:rsid w:val="00E73822"/>
    <w:rsid w:val="00E772DB"/>
    <w:rsid w:val="00E86012"/>
    <w:rsid w:val="00E86BAB"/>
    <w:rsid w:val="00E901A1"/>
    <w:rsid w:val="00E936FD"/>
    <w:rsid w:val="00E94E10"/>
    <w:rsid w:val="00E9512E"/>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6F68"/>
    <w:rsid w:val="00F1332D"/>
    <w:rsid w:val="00F1534B"/>
    <w:rsid w:val="00F1713B"/>
    <w:rsid w:val="00F212CB"/>
    <w:rsid w:val="00F23C7D"/>
    <w:rsid w:val="00F243DB"/>
    <w:rsid w:val="00F24C2D"/>
    <w:rsid w:val="00F24F1B"/>
    <w:rsid w:val="00F27356"/>
    <w:rsid w:val="00F32A81"/>
    <w:rsid w:val="00F46998"/>
    <w:rsid w:val="00F47100"/>
    <w:rsid w:val="00F5382D"/>
    <w:rsid w:val="00F53D9C"/>
    <w:rsid w:val="00F5462B"/>
    <w:rsid w:val="00F634AD"/>
    <w:rsid w:val="00F63677"/>
    <w:rsid w:val="00F63ABE"/>
    <w:rsid w:val="00F75B81"/>
    <w:rsid w:val="00F804C4"/>
    <w:rsid w:val="00F82F83"/>
    <w:rsid w:val="00F832E5"/>
    <w:rsid w:val="00F839A6"/>
    <w:rsid w:val="00F90F40"/>
    <w:rsid w:val="00F92B30"/>
    <w:rsid w:val="00F933B9"/>
    <w:rsid w:val="00F94674"/>
    <w:rsid w:val="00F94919"/>
    <w:rsid w:val="00F94A59"/>
    <w:rsid w:val="00FA25B6"/>
    <w:rsid w:val="00FA2FAF"/>
    <w:rsid w:val="00FA5CCF"/>
    <w:rsid w:val="00FA64B1"/>
    <w:rsid w:val="00FA70F3"/>
    <w:rsid w:val="00FA71CD"/>
    <w:rsid w:val="00FB0453"/>
    <w:rsid w:val="00FB0C07"/>
    <w:rsid w:val="00FB298D"/>
    <w:rsid w:val="00FC1439"/>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14434A8"/>
    <w:rsid w:val="015A4857"/>
    <w:rsid w:val="017B1BF9"/>
    <w:rsid w:val="01E93A1B"/>
    <w:rsid w:val="0214602E"/>
    <w:rsid w:val="025F774E"/>
    <w:rsid w:val="029A6E6A"/>
    <w:rsid w:val="02D435F7"/>
    <w:rsid w:val="03486B27"/>
    <w:rsid w:val="040A094E"/>
    <w:rsid w:val="049D6812"/>
    <w:rsid w:val="056F201D"/>
    <w:rsid w:val="05940AC6"/>
    <w:rsid w:val="05B664D4"/>
    <w:rsid w:val="064B485A"/>
    <w:rsid w:val="06823FBC"/>
    <w:rsid w:val="068C65C4"/>
    <w:rsid w:val="07076C01"/>
    <w:rsid w:val="071C12AC"/>
    <w:rsid w:val="077C7A64"/>
    <w:rsid w:val="07A934B3"/>
    <w:rsid w:val="07E87A8D"/>
    <w:rsid w:val="07EB6287"/>
    <w:rsid w:val="0806421B"/>
    <w:rsid w:val="08684CB5"/>
    <w:rsid w:val="09747A74"/>
    <w:rsid w:val="0980662B"/>
    <w:rsid w:val="0980799C"/>
    <w:rsid w:val="09944B8E"/>
    <w:rsid w:val="0A32077B"/>
    <w:rsid w:val="0A6A18DB"/>
    <w:rsid w:val="0A73514E"/>
    <w:rsid w:val="0A7D1BE8"/>
    <w:rsid w:val="0A97099B"/>
    <w:rsid w:val="0A975B48"/>
    <w:rsid w:val="0AEF3828"/>
    <w:rsid w:val="0B406381"/>
    <w:rsid w:val="0B7D19AF"/>
    <w:rsid w:val="0BB452AA"/>
    <w:rsid w:val="0BBB665B"/>
    <w:rsid w:val="0C685EAE"/>
    <w:rsid w:val="0CBD6F29"/>
    <w:rsid w:val="0D5B011C"/>
    <w:rsid w:val="0D7C07BE"/>
    <w:rsid w:val="0D820829"/>
    <w:rsid w:val="0E7F32A9"/>
    <w:rsid w:val="0E810642"/>
    <w:rsid w:val="0EAC50D3"/>
    <w:rsid w:val="0EEA6FC1"/>
    <w:rsid w:val="0F790928"/>
    <w:rsid w:val="0FB30434"/>
    <w:rsid w:val="0FC1695C"/>
    <w:rsid w:val="0FE10DAC"/>
    <w:rsid w:val="102636A0"/>
    <w:rsid w:val="107C607B"/>
    <w:rsid w:val="10CD72BB"/>
    <w:rsid w:val="115031A6"/>
    <w:rsid w:val="12197477"/>
    <w:rsid w:val="12314985"/>
    <w:rsid w:val="1264785B"/>
    <w:rsid w:val="131B5CD3"/>
    <w:rsid w:val="13776448"/>
    <w:rsid w:val="137D4A9E"/>
    <w:rsid w:val="1382549E"/>
    <w:rsid w:val="13F82CE7"/>
    <w:rsid w:val="144F070C"/>
    <w:rsid w:val="1466407E"/>
    <w:rsid w:val="14720B92"/>
    <w:rsid w:val="14834E28"/>
    <w:rsid w:val="148E7D65"/>
    <w:rsid w:val="15231BF9"/>
    <w:rsid w:val="15515573"/>
    <w:rsid w:val="15C4546D"/>
    <w:rsid w:val="16881F81"/>
    <w:rsid w:val="16AF4771"/>
    <w:rsid w:val="16EA2C3C"/>
    <w:rsid w:val="17365652"/>
    <w:rsid w:val="180937EB"/>
    <w:rsid w:val="180C032A"/>
    <w:rsid w:val="18F163B1"/>
    <w:rsid w:val="193D1C1D"/>
    <w:rsid w:val="195A07CF"/>
    <w:rsid w:val="196A4832"/>
    <w:rsid w:val="19F73BFF"/>
    <w:rsid w:val="1A064976"/>
    <w:rsid w:val="1A1839A8"/>
    <w:rsid w:val="1A3B68AA"/>
    <w:rsid w:val="1A3E1C1E"/>
    <w:rsid w:val="1AB65178"/>
    <w:rsid w:val="1AD4308C"/>
    <w:rsid w:val="1B6F4F40"/>
    <w:rsid w:val="1B9879DC"/>
    <w:rsid w:val="1C141836"/>
    <w:rsid w:val="1C33473D"/>
    <w:rsid w:val="1C76537D"/>
    <w:rsid w:val="1CAB1734"/>
    <w:rsid w:val="1CB87339"/>
    <w:rsid w:val="1D9C6312"/>
    <w:rsid w:val="1E4449D5"/>
    <w:rsid w:val="1E6B6A14"/>
    <w:rsid w:val="1F370744"/>
    <w:rsid w:val="1F4D401F"/>
    <w:rsid w:val="1FD16A32"/>
    <w:rsid w:val="20284A23"/>
    <w:rsid w:val="20550D9A"/>
    <w:rsid w:val="21845C9E"/>
    <w:rsid w:val="218E2416"/>
    <w:rsid w:val="22404767"/>
    <w:rsid w:val="226915FE"/>
    <w:rsid w:val="22702106"/>
    <w:rsid w:val="228B6BA3"/>
    <w:rsid w:val="22A85809"/>
    <w:rsid w:val="231F3F50"/>
    <w:rsid w:val="234F4B80"/>
    <w:rsid w:val="2411199F"/>
    <w:rsid w:val="241804A5"/>
    <w:rsid w:val="245B2E54"/>
    <w:rsid w:val="24894D13"/>
    <w:rsid w:val="24B97929"/>
    <w:rsid w:val="24D632D7"/>
    <w:rsid w:val="25381017"/>
    <w:rsid w:val="2708363F"/>
    <w:rsid w:val="27710810"/>
    <w:rsid w:val="27CD5A5E"/>
    <w:rsid w:val="27D65DBA"/>
    <w:rsid w:val="27F033FB"/>
    <w:rsid w:val="284943D4"/>
    <w:rsid w:val="285F40CA"/>
    <w:rsid w:val="289E1AF0"/>
    <w:rsid w:val="28C01ECB"/>
    <w:rsid w:val="29337FB9"/>
    <w:rsid w:val="29500C17"/>
    <w:rsid w:val="29BF71E3"/>
    <w:rsid w:val="29D6387F"/>
    <w:rsid w:val="29E8216F"/>
    <w:rsid w:val="2A127B63"/>
    <w:rsid w:val="2A451A6C"/>
    <w:rsid w:val="2A97233B"/>
    <w:rsid w:val="2AAA4765"/>
    <w:rsid w:val="2AC21606"/>
    <w:rsid w:val="2B365FF8"/>
    <w:rsid w:val="2B45623B"/>
    <w:rsid w:val="2B7E7608"/>
    <w:rsid w:val="2B7F04E9"/>
    <w:rsid w:val="2B8B554A"/>
    <w:rsid w:val="2C932FD6"/>
    <w:rsid w:val="2D496D68"/>
    <w:rsid w:val="2E7A48DE"/>
    <w:rsid w:val="2E9C43C4"/>
    <w:rsid w:val="2EBA5177"/>
    <w:rsid w:val="2EDC3ED8"/>
    <w:rsid w:val="2EE40E2C"/>
    <w:rsid w:val="2F104B00"/>
    <w:rsid w:val="2F123F15"/>
    <w:rsid w:val="2F6351B4"/>
    <w:rsid w:val="2FAC5093"/>
    <w:rsid w:val="2FC86126"/>
    <w:rsid w:val="2FCF199E"/>
    <w:rsid w:val="2FE7130D"/>
    <w:rsid w:val="30133AD1"/>
    <w:rsid w:val="30483E83"/>
    <w:rsid w:val="309317F7"/>
    <w:rsid w:val="30983075"/>
    <w:rsid w:val="30A04FAC"/>
    <w:rsid w:val="30AC2E50"/>
    <w:rsid w:val="30BF3991"/>
    <w:rsid w:val="3111619A"/>
    <w:rsid w:val="31B139DC"/>
    <w:rsid w:val="32221E1E"/>
    <w:rsid w:val="32497AF3"/>
    <w:rsid w:val="341E788C"/>
    <w:rsid w:val="343C0775"/>
    <w:rsid w:val="345E7431"/>
    <w:rsid w:val="348D47EE"/>
    <w:rsid w:val="34A51AF9"/>
    <w:rsid w:val="34F43D78"/>
    <w:rsid w:val="355F1880"/>
    <w:rsid w:val="356C50EC"/>
    <w:rsid w:val="36137E45"/>
    <w:rsid w:val="36376E0A"/>
    <w:rsid w:val="36484C39"/>
    <w:rsid w:val="364A4C7C"/>
    <w:rsid w:val="36A83A7F"/>
    <w:rsid w:val="36C02CFA"/>
    <w:rsid w:val="3700166C"/>
    <w:rsid w:val="379A1012"/>
    <w:rsid w:val="37C71CEA"/>
    <w:rsid w:val="38694EE9"/>
    <w:rsid w:val="387B329C"/>
    <w:rsid w:val="38895178"/>
    <w:rsid w:val="39717338"/>
    <w:rsid w:val="39CA5376"/>
    <w:rsid w:val="3A117273"/>
    <w:rsid w:val="3A6818FA"/>
    <w:rsid w:val="3AB344ED"/>
    <w:rsid w:val="3B0B7708"/>
    <w:rsid w:val="3B365CC9"/>
    <w:rsid w:val="3B60677A"/>
    <w:rsid w:val="3B697D24"/>
    <w:rsid w:val="3B9A7B88"/>
    <w:rsid w:val="3BD8694B"/>
    <w:rsid w:val="3C126FC3"/>
    <w:rsid w:val="3CDF3F9E"/>
    <w:rsid w:val="3D2C7AC8"/>
    <w:rsid w:val="3D536596"/>
    <w:rsid w:val="3D855D12"/>
    <w:rsid w:val="3D8B42FF"/>
    <w:rsid w:val="3DD338D1"/>
    <w:rsid w:val="3DE86C4C"/>
    <w:rsid w:val="3DF36A6E"/>
    <w:rsid w:val="3E307A91"/>
    <w:rsid w:val="3EBA1EE9"/>
    <w:rsid w:val="3EC4042E"/>
    <w:rsid w:val="3F792F1E"/>
    <w:rsid w:val="3FD6525C"/>
    <w:rsid w:val="405F16F6"/>
    <w:rsid w:val="40824826"/>
    <w:rsid w:val="40D3290A"/>
    <w:rsid w:val="40E63923"/>
    <w:rsid w:val="41546D80"/>
    <w:rsid w:val="415643E4"/>
    <w:rsid w:val="42971481"/>
    <w:rsid w:val="43194544"/>
    <w:rsid w:val="43A91E5B"/>
    <w:rsid w:val="449E0D39"/>
    <w:rsid w:val="45336CAD"/>
    <w:rsid w:val="45B222C8"/>
    <w:rsid w:val="45B44292"/>
    <w:rsid w:val="45C73FC5"/>
    <w:rsid w:val="45E32B26"/>
    <w:rsid w:val="45EF5FB8"/>
    <w:rsid w:val="463A3650"/>
    <w:rsid w:val="46461627"/>
    <w:rsid w:val="46647A66"/>
    <w:rsid w:val="469F0116"/>
    <w:rsid w:val="47277B83"/>
    <w:rsid w:val="4750522E"/>
    <w:rsid w:val="475259B7"/>
    <w:rsid w:val="47995D18"/>
    <w:rsid w:val="47C307BC"/>
    <w:rsid w:val="484F2050"/>
    <w:rsid w:val="488302AE"/>
    <w:rsid w:val="48831CF9"/>
    <w:rsid w:val="48AC020A"/>
    <w:rsid w:val="48CB7AD6"/>
    <w:rsid w:val="48E94A02"/>
    <w:rsid w:val="49024C9C"/>
    <w:rsid w:val="496F4D40"/>
    <w:rsid w:val="49B1408D"/>
    <w:rsid w:val="4A027BBB"/>
    <w:rsid w:val="4A323C61"/>
    <w:rsid w:val="4A39249C"/>
    <w:rsid w:val="4A7D4FD2"/>
    <w:rsid w:val="4A913C9A"/>
    <w:rsid w:val="4B1F70AC"/>
    <w:rsid w:val="4B2006A7"/>
    <w:rsid w:val="4B240F94"/>
    <w:rsid w:val="4B4D6D1A"/>
    <w:rsid w:val="4B6A27EE"/>
    <w:rsid w:val="4B856638"/>
    <w:rsid w:val="4C0832E5"/>
    <w:rsid w:val="4C3C565C"/>
    <w:rsid w:val="4CCC79C7"/>
    <w:rsid w:val="4D0B5439"/>
    <w:rsid w:val="4D553CBF"/>
    <w:rsid w:val="4D7555C7"/>
    <w:rsid w:val="4DF07D79"/>
    <w:rsid w:val="4DF65A5C"/>
    <w:rsid w:val="4DFF09CC"/>
    <w:rsid w:val="4E4E3231"/>
    <w:rsid w:val="4EAE6DA0"/>
    <w:rsid w:val="4FD73056"/>
    <w:rsid w:val="4FE617D9"/>
    <w:rsid w:val="4FE707F9"/>
    <w:rsid w:val="5016514B"/>
    <w:rsid w:val="50BD4DF3"/>
    <w:rsid w:val="50CF0EE9"/>
    <w:rsid w:val="50FC1A26"/>
    <w:rsid w:val="513B2CE7"/>
    <w:rsid w:val="51723664"/>
    <w:rsid w:val="51BB7195"/>
    <w:rsid w:val="51CB1C78"/>
    <w:rsid w:val="51FD6A51"/>
    <w:rsid w:val="52224331"/>
    <w:rsid w:val="526B680A"/>
    <w:rsid w:val="52836F71"/>
    <w:rsid w:val="52953FFA"/>
    <w:rsid w:val="52D26B02"/>
    <w:rsid w:val="53DC5D66"/>
    <w:rsid w:val="53F13BFB"/>
    <w:rsid w:val="54161C73"/>
    <w:rsid w:val="541A5D30"/>
    <w:rsid w:val="5463070C"/>
    <w:rsid w:val="549239F0"/>
    <w:rsid w:val="55C1559C"/>
    <w:rsid w:val="55F068CD"/>
    <w:rsid w:val="566C3136"/>
    <w:rsid w:val="568D04F2"/>
    <w:rsid w:val="56C80241"/>
    <w:rsid w:val="578B0CFA"/>
    <w:rsid w:val="57E24C8E"/>
    <w:rsid w:val="581A6B1B"/>
    <w:rsid w:val="587F6530"/>
    <w:rsid w:val="58A03430"/>
    <w:rsid w:val="58F17C86"/>
    <w:rsid w:val="593C217C"/>
    <w:rsid w:val="59513E7A"/>
    <w:rsid w:val="5A0B43C0"/>
    <w:rsid w:val="5A296BA4"/>
    <w:rsid w:val="5A526582"/>
    <w:rsid w:val="5A5F5C77"/>
    <w:rsid w:val="5A711A0D"/>
    <w:rsid w:val="5B1613E4"/>
    <w:rsid w:val="5B1A63D4"/>
    <w:rsid w:val="5B2568B5"/>
    <w:rsid w:val="5B78003B"/>
    <w:rsid w:val="5BC11A60"/>
    <w:rsid w:val="5BFB2E5D"/>
    <w:rsid w:val="5C7A4D54"/>
    <w:rsid w:val="5CA00C74"/>
    <w:rsid w:val="5CC86079"/>
    <w:rsid w:val="5CD23B73"/>
    <w:rsid w:val="5CD57954"/>
    <w:rsid w:val="5D5A77C0"/>
    <w:rsid w:val="5DC14E75"/>
    <w:rsid w:val="5E1C65B7"/>
    <w:rsid w:val="5E231B5D"/>
    <w:rsid w:val="5E5E2CC3"/>
    <w:rsid w:val="5EE52114"/>
    <w:rsid w:val="5F127819"/>
    <w:rsid w:val="5FBA1FBA"/>
    <w:rsid w:val="60350ED3"/>
    <w:rsid w:val="606C3A37"/>
    <w:rsid w:val="60B72AEE"/>
    <w:rsid w:val="60F872D1"/>
    <w:rsid w:val="61025188"/>
    <w:rsid w:val="61057D5F"/>
    <w:rsid w:val="614D4977"/>
    <w:rsid w:val="61E33ADD"/>
    <w:rsid w:val="626D25CE"/>
    <w:rsid w:val="62CE1B77"/>
    <w:rsid w:val="639875DD"/>
    <w:rsid w:val="63C60FC0"/>
    <w:rsid w:val="63E0211F"/>
    <w:rsid w:val="643B4928"/>
    <w:rsid w:val="645027A9"/>
    <w:rsid w:val="64B40B19"/>
    <w:rsid w:val="64BA3D7A"/>
    <w:rsid w:val="64F179BC"/>
    <w:rsid w:val="64F36292"/>
    <w:rsid w:val="65323AFA"/>
    <w:rsid w:val="65387F06"/>
    <w:rsid w:val="654A23E3"/>
    <w:rsid w:val="657557EF"/>
    <w:rsid w:val="658971CF"/>
    <w:rsid w:val="66127E0B"/>
    <w:rsid w:val="662D4693"/>
    <w:rsid w:val="663A217C"/>
    <w:rsid w:val="665704D3"/>
    <w:rsid w:val="669944D9"/>
    <w:rsid w:val="67A140FF"/>
    <w:rsid w:val="67C065A4"/>
    <w:rsid w:val="67C749C6"/>
    <w:rsid w:val="67D359C9"/>
    <w:rsid w:val="68042537"/>
    <w:rsid w:val="68103BDF"/>
    <w:rsid w:val="68662D72"/>
    <w:rsid w:val="68E2428E"/>
    <w:rsid w:val="68E6311C"/>
    <w:rsid w:val="68F41FC9"/>
    <w:rsid w:val="68FE36DD"/>
    <w:rsid w:val="694E60FC"/>
    <w:rsid w:val="6A256904"/>
    <w:rsid w:val="6A2C1D99"/>
    <w:rsid w:val="6A9D53A6"/>
    <w:rsid w:val="6AAA163C"/>
    <w:rsid w:val="6AD42215"/>
    <w:rsid w:val="6B656832"/>
    <w:rsid w:val="6B66417A"/>
    <w:rsid w:val="6BA22313"/>
    <w:rsid w:val="6C675CE6"/>
    <w:rsid w:val="6CDD63F2"/>
    <w:rsid w:val="6D4F4321"/>
    <w:rsid w:val="6DC835B5"/>
    <w:rsid w:val="6DF41B82"/>
    <w:rsid w:val="6DFF7360"/>
    <w:rsid w:val="6E0A7D76"/>
    <w:rsid w:val="6E7A5F73"/>
    <w:rsid w:val="6EE90F9D"/>
    <w:rsid w:val="6F1D7B64"/>
    <w:rsid w:val="6FB6454A"/>
    <w:rsid w:val="6FD74228"/>
    <w:rsid w:val="7021106F"/>
    <w:rsid w:val="70D10596"/>
    <w:rsid w:val="71462F6F"/>
    <w:rsid w:val="71633091"/>
    <w:rsid w:val="725A270A"/>
    <w:rsid w:val="73081CA5"/>
    <w:rsid w:val="73136EFB"/>
    <w:rsid w:val="73275BE6"/>
    <w:rsid w:val="735A5BA1"/>
    <w:rsid w:val="73E831D5"/>
    <w:rsid w:val="74201F7D"/>
    <w:rsid w:val="742F6FCE"/>
    <w:rsid w:val="74454183"/>
    <w:rsid w:val="7487762D"/>
    <w:rsid w:val="74C33AA4"/>
    <w:rsid w:val="75210D7A"/>
    <w:rsid w:val="75385498"/>
    <w:rsid w:val="75680129"/>
    <w:rsid w:val="75AE0CEB"/>
    <w:rsid w:val="75F37776"/>
    <w:rsid w:val="75F556AF"/>
    <w:rsid w:val="76BC207F"/>
    <w:rsid w:val="76C646D6"/>
    <w:rsid w:val="76EB4904"/>
    <w:rsid w:val="77645DCD"/>
    <w:rsid w:val="777378F5"/>
    <w:rsid w:val="777A2D3C"/>
    <w:rsid w:val="77B01193"/>
    <w:rsid w:val="78673398"/>
    <w:rsid w:val="78A715E8"/>
    <w:rsid w:val="79074B81"/>
    <w:rsid w:val="794F0939"/>
    <w:rsid w:val="79AF0FCA"/>
    <w:rsid w:val="7AF9279C"/>
    <w:rsid w:val="7B1448AF"/>
    <w:rsid w:val="7B514853"/>
    <w:rsid w:val="7BCA404B"/>
    <w:rsid w:val="7CC51958"/>
    <w:rsid w:val="7CD53DF9"/>
    <w:rsid w:val="7CDC4B3C"/>
    <w:rsid w:val="7D097C86"/>
    <w:rsid w:val="7E2936C3"/>
    <w:rsid w:val="7E6411B9"/>
    <w:rsid w:val="7F5B0819"/>
    <w:rsid w:val="7F5B2D73"/>
    <w:rsid w:val="7FE6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3">
    <w:name w:val="heading 2"/>
    <w:basedOn w:val="4"/>
    <w:next w:val="1"/>
    <w:autoRedefine/>
    <w:qFormat/>
    <w:uiPriority w:val="0"/>
    <w:pPr>
      <w:spacing w:line="415" w:lineRule="auto"/>
      <w:outlineLvl w:val="1"/>
    </w:pPr>
    <w:rPr>
      <w:rFonts w:ascii="Arial" w:hAnsi="Arial" w:eastAsia="黑体" w:cs="Arial"/>
    </w:rPr>
  </w:style>
  <w:style w:type="paragraph" w:styleId="4">
    <w:name w:val="heading 3"/>
    <w:basedOn w:val="1"/>
    <w:next w:val="1"/>
    <w:link w:val="61"/>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8"/>
    <w:autoRedefine/>
    <w:qFormat/>
    <w:uiPriority w:val="0"/>
    <w:pPr>
      <w:jc w:val="left"/>
    </w:pPr>
    <w:rPr>
      <w:rFonts w:ascii="Arial" w:hAnsi="Arial" w:eastAsia="黑体" w:cs="Arial"/>
    </w:rPr>
  </w:style>
  <w:style w:type="paragraph" w:styleId="9">
    <w:name w:val="Body Text"/>
    <w:basedOn w:val="1"/>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8"/>
    <w:autoRedefine/>
    <w:qFormat/>
    <w:uiPriority w:val="99"/>
    <w:rPr>
      <w:rFonts w:ascii="宋体" w:hAnsi="Courier New" w:eastAsiaTheme="minorEastAsia" w:cstheme="minorBidi"/>
      <w:szCs w:val="22"/>
    </w:rPr>
  </w:style>
  <w:style w:type="paragraph" w:styleId="14">
    <w:name w:val="Date"/>
    <w:basedOn w:val="1"/>
    <w:next w:val="1"/>
    <w:link w:val="55"/>
    <w:autoRedefine/>
    <w:qFormat/>
    <w:uiPriority w:val="0"/>
    <w:rPr>
      <w:rFonts w:ascii="Arial" w:hAnsi="Arial" w:eastAsia="宋体" w:cs="Arial"/>
      <w:b/>
      <w:sz w:val="28"/>
    </w:rPr>
  </w:style>
  <w:style w:type="paragraph" w:styleId="15">
    <w:name w:val="Balloon Text"/>
    <w:basedOn w:val="1"/>
    <w:link w:val="42"/>
    <w:autoRedefine/>
    <w:semiHidden/>
    <w:unhideWhenUsed/>
    <w:qFormat/>
    <w:uiPriority w:val="99"/>
    <w:rPr>
      <w:sz w:val="18"/>
      <w:szCs w:val="18"/>
    </w:rPr>
  </w:style>
  <w:style w:type="paragraph" w:styleId="16">
    <w:name w:val="footer"/>
    <w:basedOn w:val="1"/>
    <w:link w:val="47"/>
    <w:autoRedefine/>
    <w:unhideWhenUsed/>
    <w:qFormat/>
    <w:uiPriority w:val="99"/>
    <w:pPr>
      <w:tabs>
        <w:tab w:val="center" w:pos="4153"/>
        <w:tab w:val="right" w:pos="8306"/>
      </w:tabs>
      <w:snapToGrid w:val="0"/>
      <w:jc w:val="left"/>
    </w:pPr>
    <w:rPr>
      <w:sz w:val="18"/>
      <w:szCs w:val="18"/>
    </w:rPr>
  </w:style>
  <w:style w:type="paragraph" w:styleId="17">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List 4"/>
    <w:basedOn w:val="1"/>
    <w:qFormat/>
    <w:uiPriority w:val="0"/>
    <w:pPr>
      <w:ind w:left="1680" w:hanging="420"/>
    </w:p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annotation subject"/>
    <w:basedOn w:val="8"/>
    <w:next w:val="8"/>
    <w:link w:val="69"/>
    <w:autoRedefine/>
    <w:semiHidden/>
    <w:unhideWhenUsed/>
    <w:qFormat/>
    <w:uiPriority w:val="99"/>
    <w:rPr>
      <w:rFonts w:ascii="@仿宋_GB2312" w:hAnsi="@仿宋_GB2312" w:eastAsia="@仿宋_GB2312" w:cs="@仿宋_GB2312"/>
      <w:b/>
      <w:bCs/>
    </w:rPr>
  </w:style>
  <w:style w:type="paragraph" w:styleId="24">
    <w:name w:val="Body Text First Indent"/>
    <w:basedOn w:val="9"/>
    <w:autoRedefine/>
    <w:unhideWhenUsed/>
    <w:qFormat/>
    <w:uiPriority w:val="99"/>
    <w:pPr>
      <w:ind w:firstLine="420" w:firstLineChars="100"/>
    </w:pPr>
  </w:style>
  <w:style w:type="paragraph" w:styleId="25">
    <w:name w:val="Body Text First Indent 2"/>
    <w:basedOn w:val="10"/>
    <w:next w:val="1"/>
    <w:qFormat/>
    <w:uiPriority w:val="0"/>
    <w:pPr>
      <w:ind w:firstLine="420" w:firstLineChars="200"/>
    </w:pPr>
  </w:style>
  <w:style w:type="table" w:styleId="27">
    <w:name w:val="Table Grid"/>
    <w:basedOn w:val="2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basedOn w:val="28"/>
    <w:semiHidden/>
    <w:unhideWhenUsed/>
    <w:qFormat/>
    <w:uiPriority w:val="99"/>
    <w:rPr>
      <w:color w:val="800080"/>
      <w:u w:val="none"/>
    </w:rPr>
  </w:style>
  <w:style w:type="character" w:styleId="31">
    <w:name w:val="HTML Definition"/>
    <w:basedOn w:val="28"/>
    <w:semiHidden/>
    <w:unhideWhenUsed/>
    <w:qFormat/>
    <w:uiPriority w:val="99"/>
  </w:style>
  <w:style w:type="character" w:styleId="32">
    <w:name w:val="HTML Typewriter"/>
    <w:basedOn w:val="28"/>
    <w:semiHidden/>
    <w:unhideWhenUsed/>
    <w:qFormat/>
    <w:uiPriority w:val="99"/>
    <w:rPr>
      <w:rFonts w:ascii="monospace" w:hAnsi="monospace" w:eastAsia="monospace" w:cs="monospace"/>
      <w:sz w:val="20"/>
    </w:rPr>
  </w:style>
  <w:style w:type="character" w:styleId="33">
    <w:name w:val="HTML Acronym"/>
    <w:basedOn w:val="28"/>
    <w:semiHidden/>
    <w:unhideWhenUsed/>
    <w:qFormat/>
    <w:uiPriority w:val="99"/>
  </w:style>
  <w:style w:type="character" w:styleId="34">
    <w:name w:val="HTML Variable"/>
    <w:basedOn w:val="28"/>
    <w:semiHidden/>
    <w:unhideWhenUsed/>
    <w:qFormat/>
    <w:uiPriority w:val="99"/>
  </w:style>
  <w:style w:type="character" w:styleId="35">
    <w:name w:val="Hyperlink"/>
    <w:basedOn w:val="28"/>
    <w:autoRedefine/>
    <w:unhideWhenUsed/>
    <w:qFormat/>
    <w:uiPriority w:val="99"/>
    <w:rPr>
      <w:color w:val="0000FF" w:themeColor="hyperlink"/>
      <w:u w:val="single"/>
      <w14:textFill>
        <w14:solidFill>
          <w14:schemeClr w14:val="hlink"/>
        </w14:solidFill>
      </w14:textFill>
    </w:rPr>
  </w:style>
  <w:style w:type="character" w:styleId="36">
    <w:name w:val="HTML Code"/>
    <w:basedOn w:val="28"/>
    <w:semiHidden/>
    <w:unhideWhenUsed/>
    <w:qFormat/>
    <w:uiPriority w:val="99"/>
    <w:rPr>
      <w:rFonts w:hint="default" w:ascii="monospace" w:hAnsi="monospace" w:eastAsia="monospace" w:cs="monospace"/>
      <w:sz w:val="20"/>
    </w:rPr>
  </w:style>
  <w:style w:type="character" w:styleId="37">
    <w:name w:val="annotation reference"/>
    <w:basedOn w:val="28"/>
    <w:autoRedefine/>
    <w:semiHidden/>
    <w:unhideWhenUsed/>
    <w:qFormat/>
    <w:uiPriority w:val="99"/>
    <w:rPr>
      <w:sz w:val="21"/>
      <w:szCs w:val="21"/>
    </w:rPr>
  </w:style>
  <w:style w:type="character" w:styleId="38">
    <w:name w:val="HTML Cite"/>
    <w:basedOn w:val="28"/>
    <w:semiHidden/>
    <w:unhideWhenUsed/>
    <w:qFormat/>
    <w:uiPriority w:val="99"/>
  </w:style>
  <w:style w:type="character" w:styleId="39">
    <w:name w:val="HTML Keyboard"/>
    <w:basedOn w:val="28"/>
    <w:semiHidden/>
    <w:unhideWhenUsed/>
    <w:qFormat/>
    <w:uiPriority w:val="99"/>
    <w:rPr>
      <w:rFonts w:hint="default" w:ascii="monospace" w:hAnsi="monospace" w:eastAsia="monospace" w:cs="monospace"/>
      <w:sz w:val="20"/>
    </w:rPr>
  </w:style>
  <w:style w:type="character" w:styleId="40">
    <w:name w:val="HTML Sample"/>
    <w:basedOn w:val="28"/>
    <w:semiHidden/>
    <w:unhideWhenUsed/>
    <w:qFormat/>
    <w:uiPriority w:val="99"/>
    <w:rPr>
      <w:rFonts w:hint="default" w:ascii="monospace" w:hAnsi="monospace" w:eastAsia="monospace" w:cs="monospace"/>
    </w:rPr>
  </w:style>
  <w:style w:type="paragraph" w:customStyle="1" w:styleId="41">
    <w:name w:val="表格文字"/>
    <w:basedOn w:val="1"/>
    <w:qFormat/>
    <w:uiPriority w:val="0"/>
    <w:rPr>
      <w:bCs/>
      <w:spacing w:val="10"/>
      <w:szCs w:val="20"/>
    </w:rPr>
  </w:style>
  <w:style w:type="character" w:customStyle="1" w:styleId="42">
    <w:name w:val="批注框文本 字符"/>
    <w:basedOn w:val="28"/>
    <w:link w:val="15"/>
    <w:autoRedefine/>
    <w:semiHidden/>
    <w:qFormat/>
    <w:uiPriority w:val="99"/>
    <w:rPr>
      <w:rFonts w:ascii="@仿宋_GB2312" w:hAnsi="@仿宋_GB2312" w:eastAsia="@仿宋_GB2312" w:cs="@仿宋_GB2312"/>
      <w:sz w:val="18"/>
      <w:szCs w:val="18"/>
    </w:rPr>
  </w:style>
  <w:style w:type="paragraph" w:customStyle="1" w:styleId="4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4">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5">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6">
    <w:name w:val="页眉 字符"/>
    <w:basedOn w:val="28"/>
    <w:link w:val="17"/>
    <w:autoRedefine/>
    <w:qFormat/>
    <w:uiPriority w:val="99"/>
    <w:rPr>
      <w:rFonts w:ascii="@仿宋_GB2312" w:hAnsi="@仿宋_GB2312" w:eastAsia="@仿宋_GB2312" w:cs="@仿宋_GB2312"/>
      <w:sz w:val="18"/>
      <w:szCs w:val="18"/>
    </w:rPr>
  </w:style>
  <w:style w:type="character" w:customStyle="1" w:styleId="47">
    <w:name w:val="页脚 字符"/>
    <w:basedOn w:val="28"/>
    <w:link w:val="16"/>
    <w:autoRedefine/>
    <w:qFormat/>
    <w:uiPriority w:val="99"/>
    <w:rPr>
      <w:rFonts w:ascii="@仿宋_GB2312" w:hAnsi="@仿宋_GB2312" w:eastAsia="@仿宋_GB2312" w:cs="@仿宋_GB2312"/>
      <w:sz w:val="18"/>
      <w:szCs w:val="18"/>
    </w:rPr>
  </w:style>
  <w:style w:type="character" w:customStyle="1" w:styleId="48">
    <w:name w:val="纯文本 字符"/>
    <w:link w:val="13"/>
    <w:autoRedefine/>
    <w:qFormat/>
    <w:uiPriority w:val="0"/>
    <w:rPr>
      <w:rFonts w:ascii="宋体" w:hAnsi="Courier New"/>
    </w:rPr>
  </w:style>
  <w:style w:type="character" w:customStyle="1" w:styleId="49">
    <w:name w:val="纯文本 字符1"/>
    <w:basedOn w:val="28"/>
    <w:autoRedefine/>
    <w:semiHidden/>
    <w:qFormat/>
    <w:uiPriority w:val="99"/>
    <w:rPr>
      <w:rFonts w:hAnsi="Courier New" w:cs="Courier New" w:asciiTheme="minorEastAsia"/>
      <w:szCs w:val="20"/>
    </w:rPr>
  </w:style>
  <w:style w:type="character" w:customStyle="1" w:styleId="50">
    <w:name w:val="未处理的提及1"/>
    <w:basedOn w:val="28"/>
    <w:autoRedefine/>
    <w:semiHidden/>
    <w:unhideWhenUsed/>
    <w:qFormat/>
    <w:uiPriority w:val="99"/>
    <w:rPr>
      <w:color w:val="605E5C"/>
      <w:shd w:val="clear" w:color="auto" w:fill="E1DFDD"/>
    </w:rPr>
  </w:style>
  <w:style w:type="paragraph" w:styleId="51">
    <w:name w:val="List Paragraph"/>
    <w:basedOn w:val="1"/>
    <w:autoRedefine/>
    <w:qFormat/>
    <w:uiPriority w:val="34"/>
    <w:pPr>
      <w:ind w:firstLine="420" w:firstLineChars="200"/>
    </w:pPr>
  </w:style>
  <w:style w:type="paragraph" w:customStyle="1" w:styleId="52">
    <w:name w:val="Char Char Char Char Char Char Char1 Char"/>
    <w:basedOn w:val="1"/>
    <w:autoRedefine/>
    <w:qFormat/>
    <w:uiPriority w:val="0"/>
    <w:rPr>
      <w:rFonts w:ascii="Arial" w:hAnsi="Arial" w:eastAsia="宋体" w:cs="Arial"/>
      <w:sz w:val="24"/>
    </w:rPr>
  </w:style>
  <w:style w:type="table" w:customStyle="1" w:styleId="53">
    <w:name w:val="网格表 1 浅色1"/>
    <w:basedOn w:val="2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4">
    <w:name w:val="日期 字符"/>
    <w:basedOn w:val="28"/>
    <w:autoRedefine/>
    <w:semiHidden/>
    <w:qFormat/>
    <w:uiPriority w:val="99"/>
    <w:rPr>
      <w:rFonts w:ascii="@仿宋_GB2312" w:hAnsi="@仿宋_GB2312" w:eastAsia="@仿宋_GB2312" w:cs="@仿宋_GB2312"/>
      <w:szCs w:val="20"/>
    </w:rPr>
  </w:style>
  <w:style w:type="character" w:customStyle="1" w:styleId="55">
    <w:name w:val="日期 字符1"/>
    <w:link w:val="14"/>
    <w:autoRedefine/>
    <w:qFormat/>
    <w:uiPriority w:val="0"/>
    <w:rPr>
      <w:rFonts w:ascii="Arial" w:hAnsi="Arial" w:eastAsia="宋体" w:cs="Arial"/>
      <w:b/>
      <w:sz w:val="28"/>
      <w:szCs w:val="20"/>
    </w:rPr>
  </w:style>
  <w:style w:type="character" w:customStyle="1" w:styleId="56">
    <w:name w:val="纯文本 Char1"/>
    <w:autoRedefine/>
    <w:qFormat/>
    <w:locked/>
    <w:uiPriority w:val="99"/>
    <w:rPr>
      <w:rFonts w:ascii="Arial" w:hAnsi="Arial" w:eastAsia="Arial"/>
      <w:kern w:val="2"/>
      <w:sz w:val="21"/>
      <w:lang w:val="en-US" w:eastAsia="zh-CN" w:bidi="ar-SA"/>
    </w:rPr>
  </w:style>
  <w:style w:type="character" w:customStyle="1" w:styleId="57">
    <w:name w:val="批注文字 Char"/>
    <w:basedOn w:val="28"/>
    <w:autoRedefine/>
    <w:semiHidden/>
    <w:qFormat/>
    <w:uiPriority w:val="99"/>
    <w:rPr>
      <w:rFonts w:ascii="@仿宋_GB2312" w:hAnsi="@仿宋_GB2312" w:eastAsia="@仿宋_GB2312" w:cs="@仿宋_GB2312"/>
      <w:szCs w:val="20"/>
    </w:rPr>
  </w:style>
  <w:style w:type="character" w:customStyle="1" w:styleId="58">
    <w:name w:val="批注文字 字符"/>
    <w:link w:val="8"/>
    <w:autoRedefine/>
    <w:qFormat/>
    <w:uiPriority w:val="0"/>
    <w:rPr>
      <w:rFonts w:ascii="Arial" w:hAnsi="Arial" w:eastAsia="黑体" w:cs="Arial"/>
      <w:szCs w:val="20"/>
    </w:rPr>
  </w:style>
  <w:style w:type="character" w:customStyle="1" w:styleId="59">
    <w:name w:val="标题 1 字符"/>
    <w:basedOn w:val="28"/>
    <w:link w:val="2"/>
    <w:autoRedefine/>
    <w:qFormat/>
    <w:uiPriority w:val="9"/>
    <w:rPr>
      <w:rFonts w:ascii="@仿宋_GB2312" w:hAnsi="@仿宋_GB2312" w:eastAsia="@仿宋_GB2312" w:cs="@仿宋_GB2312"/>
      <w:b/>
      <w:bCs/>
      <w:kern w:val="44"/>
      <w:sz w:val="44"/>
      <w:szCs w:val="44"/>
    </w:rPr>
  </w:style>
  <w:style w:type="paragraph" w:customStyle="1" w:styleId="6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8"/>
    <w:link w:val="4"/>
    <w:autoRedefine/>
    <w:semiHidden/>
    <w:qFormat/>
    <w:uiPriority w:val="9"/>
    <w:rPr>
      <w:rFonts w:ascii="@仿宋_GB2312" w:hAnsi="@仿宋_GB2312" w:eastAsia="@仿宋_GB2312" w:cs="@仿宋_GB2312"/>
      <w:b/>
      <w:bCs/>
      <w:sz w:val="32"/>
      <w:szCs w:val="32"/>
    </w:rPr>
  </w:style>
  <w:style w:type="character" w:customStyle="1" w:styleId="62">
    <w:name w:val="fontstyle01"/>
    <w:basedOn w:val="28"/>
    <w:autoRedefine/>
    <w:qFormat/>
    <w:uiPriority w:val="0"/>
    <w:rPr>
      <w:rFonts w:hint="eastAsia" w:ascii="宋体" w:hAnsi="宋体" w:eastAsia="宋体"/>
      <w:color w:val="000000"/>
      <w:sz w:val="22"/>
      <w:szCs w:val="22"/>
    </w:rPr>
  </w:style>
  <w:style w:type="character" w:customStyle="1" w:styleId="63">
    <w:name w:val="fontstyle21"/>
    <w:basedOn w:val="28"/>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8"/>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5"/>
    <w:autoRedefine/>
    <w:qFormat/>
    <w:uiPriority w:val="0"/>
    <w:rPr>
      <w:rFonts w:ascii="@仿宋_GB2312" w:hAnsi="@仿宋_GB2312" w:eastAsia="@仿宋_GB2312" w:cs="@仿宋_GB2312"/>
      <w:b/>
      <w:bCs/>
      <w:sz w:val="28"/>
      <w:szCs w:val="28"/>
    </w:rPr>
  </w:style>
  <w:style w:type="character" w:customStyle="1" w:styleId="67">
    <w:name w:val="标题 4 Char"/>
    <w:autoRedefine/>
    <w:qFormat/>
    <w:uiPriority w:val="0"/>
    <w:rPr>
      <w:rFonts w:ascii="Arial" w:hAnsi="Arial" w:eastAsia="Arial"/>
      <w:b/>
      <w:bCs/>
      <w:kern w:val="2"/>
      <w:sz w:val="28"/>
      <w:szCs w:val="28"/>
      <w:lang w:val="en-US" w:eastAsia="zh-CN" w:bidi="ar-SA"/>
    </w:rPr>
  </w:style>
  <w:style w:type="table" w:customStyle="1" w:styleId="68">
    <w:name w:val="网格型1"/>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批注主题 字符"/>
    <w:basedOn w:val="58"/>
    <w:link w:val="23"/>
    <w:autoRedefine/>
    <w:semiHidden/>
    <w:qFormat/>
    <w:uiPriority w:val="99"/>
    <w:rPr>
      <w:rFonts w:ascii="@仿宋_GB2312" w:hAnsi="@仿宋_GB2312" w:eastAsia="@仿宋_GB2312" w:cs="@仿宋_GB2312"/>
      <w:b/>
      <w:bCs/>
      <w:szCs w:val="20"/>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paragraph" w:customStyle="1" w:styleId="71">
    <w:name w:val="Table Text"/>
    <w:basedOn w:val="1"/>
    <w:autoRedefine/>
    <w:semiHidden/>
    <w:qFormat/>
    <w:uiPriority w:val="0"/>
    <w:rPr>
      <w:rFonts w:ascii="Arial" w:hAnsi="Arial" w:eastAsia="Arial" w:cs="Arial"/>
      <w:szCs w:val="21"/>
      <w:lang w:eastAsia="en-US"/>
    </w:rPr>
  </w:style>
  <w:style w:type="paragraph" w:customStyle="1" w:styleId="7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列出段落1"/>
    <w:basedOn w:val="1"/>
    <w:autoRedefine/>
    <w:qFormat/>
    <w:uiPriority w:val="0"/>
    <w:pPr>
      <w:ind w:firstLine="420" w:firstLineChars="200"/>
    </w:pPr>
    <w:rPr>
      <w:szCs w:val="21"/>
    </w:rPr>
  </w:style>
  <w:style w:type="character" w:customStyle="1" w:styleId="74">
    <w:name w:val="15"/>
    <w:basedOn w:val="28"/>
    <w:qFormat/>
    <w:uiPriority w:val="0"/>
    <w:rPr>
      <w:rFonts w:hint="default" w:ascii="Times New Roman" w:hAnsi="Times New Roman" w:cs="Times New Roman"/>
      <w:color w:val="0000FF"/>
      <w:u w:val="single"/>
    </w:rPr>
  </w:style>
  <w:style w:type="character" w:customStyle="1" w:styleId="75">
    <w:name w:val="10"/>
    <w:basedOn w:val="28"/>
    <w:qFormat/>
    <w:uiPriority w:val="0"/>
    <w:rPr>
      <w:rFonts w:hint="default" w:ascii="Times New Roman" w:hAnsi="Times New Roman" w:cs="Times New Roman"/>
    </w:rPr>
  </w:style>
  <w:style w:type="character" w:customStyle="1" w:styleId="76">
    <w:name w:val="first-child"/>
    <w:basedOn w:val="28"/>
    <w:qFormat/>
    <w:uiPriority w:val="0"/>
  </w:style>
  <w:style w:type="character" w:customStyle="1" w:styleId="77">
    <w:name w:val="layui-this"/>
    <w:basedOn w:val="28"/>
    <w:qFormat/>
    <w:uiPriority w:val="0"/>
    <w:rPr>
      <w:bdr w:val="single" w:color="EEEEEE" w:sz="6" w:space="0"/>
      <w:shd w:val="clear" w:color="auto" w:fill="FFFFFF"/>
    </w:rPr>
  </w:style>
  <w:style w:type="paragraph" w:customStyle="1" w:styleId="78">
    <w:name w:val="Table Paragraph"/>
    <w:basedOn w:val="1"/>
    <w:next w:val="20"/>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53</Pages>
  <Words>1513</Words>
  <Characters>1652</Characters>
  <Lines>298</Lines>
  <Paragraphs>84</Paragraphs>
  <TotalTime>13</TotalTime>
  <ScaleCrop>false</ScaleCrop>
  <LinksUpToDate>false</LinksUpToDate>
  <CharactersWithSpaces>1753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cp:lastModifiedBy>
  <cp:lastPrinted>2025-03-03T01:31:00Z</cp:lastPrinted>
  <dcterms:modified xsi:type="dcterms:W3CDTF">2025-07-29T07:56:14Z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1ECEA165F94845FFAF35C1C96E4FB9B0_12</vt:lpwstr>
  </property>
  <property fmtid="{D5CDD505-2E9C-101B-9397-08002B2CF9AE}" pid="4" name="KSOTemplateDocerSaveRecord">
    <vt:lpwstr>eyJoZGlkIjoiYmYxZTY3N2FlNWMzMGQ4ODJjZjNiMzAzNjYzMGVjZmMiLCJ1c2VySWQiOiIxMDQ5NTcxMTEwIn0=</vt:lpwstr>
  </property>
</Properties>
</file>