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0E8C6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滁州市第一人民医院四个院区空调主管道维修服务项目（重新招标）（三次）</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CZYY-2026-19</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2026年5月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评标方法和标准（最低评标价法）</w:t>
      </w:r>
      <w:r>
        <w:rPr>
          <w:rFonts w:hint="default" w:ascii="宋体" w:hAnsi="宋体" w:eastAsia="宋体"/>
          <w:color w:val="auto"/>
          <w:szCs w:val="24"/>
          <w:highlight w:val="none"/>
        </w:rPr>
        <w:tab/>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21</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32</w:t>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0725959">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滁州市第一人民医院四个院区空调主管道维修服务项目（重新招标）（三次）</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27</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CZYY-2026-19</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滁州市第一人民医院四个院区空调主管道维修服务项目（重新招标）（三次）</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45万元/年（实际结算时，无论实际工程量多少，最终累计结算金额均以该最高限价为上限）</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具体详见服务内容列表。</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具体详见招标文件采购需求</w:t>
      </w:r>
      <w:r>
        <w:rPr>
          <w:rFonts w:hint="eastAsia" w:ascii="宋体" w:hAnsi="宋体" w:eastAsia="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维修服务时间为三年，合同一年一签。（采购人可根据维修服务质量考虑是否续签）。</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①投标人具有建筑机电安装工程专业承包叁级及以上资质，提供有效的安全生产许可证；②提供至少一名拟派现场主要施工人员具备的《焊接与热切割特种作业操作证》资格证；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27</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27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5</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25</w:t>
            </w:r>
            <w:bookmarkStart w:id="221" w:name="_GoBack"/>
            <w:bookmarkEnd w:id="221"/>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3375元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0A17FEF0">
      <w:pPr>
        <w:spacing w:line="360" w:lineRule="auto"/>
        <w:ind w:firstLine="435"/>
        <w:rPr>
          <w:rFonts w:ascii="宋体" w:hAnsi="宋体" w:eastAsia="宋体"/>
          <w:b w:val="0"/>
          <w:bCs w:val="0"/>
          <w:color w:val="auto"/>
          <w:sz w:val="24"/>
          <w:highlight w:val="none"/>
        </w:rPr>
      </w:pPr>
      <w:r>
        <w:rPr>
          <w:rFonts w:hint="eastAsia" w:ascii="宋体" w:hAnsi="宋体" w:eastAsia="宋体"/>
          <w:b w:val="0"/>
          <w:bCs w:val="0"/>
          <w:color w:val="auto"/>
          <w:sz w:val="24"/>
          <w:highlight w:val="none"/>
        </w:rPr>
        <w:t>（2）综合评分法，是</w:t>
      </w:r>
      <w:r>
        <w:rPr>
          <w:rFonts w:ascii="宋体" w:hAnsi="宋体" w:eastAsia="宋体"/>
          <w:b w:val="0"/>
          <w:bCs w:val="0"/>
          <w:color w:val="auto"/>
          <w:sz w:val="24"/>
          <w:highlight w:val="none"/>
        </w:rPr>
        <w:t>指投标文件满足招标</w:t>
      </w:r>
      <w:r>
        <w:rPr>
          <w:rFonts w:hint="eastAsia" w:ascii="宋体" w:hAnsi="宋体" w:eastAsia="宋体"/>
          <w:b w:val="0"/>
          <w:bCs w:val="0"/>
          <w:color w:val="auto"/>
          <w:sz w:val="24"/>
          <w:highlight w:val="none"/>
        </w:rPr>
        <w:t>文件</w:t>
      </w:r>
      <w:r>
        <w:rPr>
          <w:rFonts w:ascii="宋体" w:hAnsi="宋体" w:eastAsia="宋体"/>
          <w:b w:val="0"/>
          <w:bCs w:val="0"/>
          <w:color w:val="auto"/>
          <w:sz w:val="24"/>
          <w:highlight w:val="none"/>
        </w:rPr>
        <w:t>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且按照评审因素的</w:t>
      </w:r>
      <w:r>
        <w:rPr>
          <w:rFonts w:hint="eastAsia" w:ascii="宋体" w:hAnsi="宋体" w:eastAsia="宋体"/>
          <w:b w:val="0"/>
          <w:bCs w:val="0"/>
          <w:color w:val="auto"/>
          <w:sz w:val="24"/>
          <w:highlight w:val="none"/>
        </w:rPr>
        <w:t>量化</w:t>
      </w:r>
      <w:r>
        <w:rPr>
          <w:rFonts w:ascii="宋体" w:hAnsi="宋体" w:eastAsia="宋体"/>
          <w:b w:val="0"/>
          <w:bCs w:val="0"/>
          <w:color w:val="auto"/>
          <w:sz w:val="24"/>
          <w:highlight w:val="none"/>
        </w:rPr>
        <w:t>指标评审得分最高的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A0EC6B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5279D28">
      <w:pPr>
        <w:spacing w:line="360" w:lineRule="auto"/>
        <w:outlineLvl w:val="1"/>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14"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验收合格后根据维修量每半年一结款。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14"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维修服务时间为三年，合同一年一签。（采购人可根据维修服务质量考虑是否续签）</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五年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3" w:name="_Toc16417"/>
    </w:p>
    <w:p w14:paraId="1C77910A">
      <w:pPr>
        <w:rPr>
          <w:rFonts w:hint="eastAsia" w:ascii="方正仿宋_GB2312" w:hAnsi="方正仿宋_GB2312" w:eastAsia="方正仿宋_GB2312" w:cs="方正仿宋_GB2312"/>
          <w:b/>
          <w:bCs/>
          <w:sz w:val="32"/>
          <w:szCs w:val="32"/>
          <w:highlight w:val="none"/>
        </w:rPr>
      </w:pPr>
      <w:r>
        <w:rPr>
          <w:rFonts w:hint="eastAsia" w:ascii="宋体" w:hAnsi="宋体" w:eastAsia="宋体" w:cs="宋体"/>
          <w:b/>
          <w:bCs w:val="0"/>
          <w:snapToGrid/>
          <w:kern w:val="0"/>
          <w:sz w:val="24"/>
          <w:szCs w:val="24"/>
          <w:highlight w:val="none"/>
          <w:lang w:val="en-US" w:eastAsia="zh-CN" w:bidi="ar"/>
        </w:rPr>
        <w:t>二、服务内容列表：</w:t>
      </w:r>
    </w:p>
    <w:tbl>
      <w:tblPr>
        <w:tblStyle w:val="27"/>
        <w:tblW w:w="949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040"/>
        <w:gridCol w:w="3120"/>
        <w:gridCol w:w="1044"/>
        <w:gridCol w:w="1095"/>
        <w:gridCol w:w="1401"/>
      </w:tblGrid>
      <w:tr w14:paraId="0CF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5" w:type="dxa"/>
            <w:vAlign w:val="center"/>
          </w:tcPr>
          <w:p w14:paraId="4D0313D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2040" w:type="dxa"/>
            <w:vAlign w:val="center"/>
          </w:tcPr>
          <w:p w14:paraId="2981CEC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维修服务类别</w:t>
            </w:r>
          </w:p>
        </w:tc>
        <w:tc>
          <w:tcPr>
            <w:tcW w:w="3120" w:type="dxa"/>
            <w:vAlign w:val="center"/>
          </w:tcPr>
          <w:p w14:paraId="4090B3B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规格</w:t>
            </w:r>
          </w:p>
        </w:tc>
        <w:tc>
          <w:tcPr>
            <w:tcW w:w="1044" w:type="dxa"/>
            <w:vAlign w:val="center"/>
          </w:tcPr>
          <w:p w14:paraId="0CEC578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数量</w:t>
            </w:r>
          </w:p>
        </w:tc>
        <w:tc>
          <w:tcPr>
            <w:tcW w:w="1095" w:type="dxa"/>
            <w:vAlign w:val="center"/>
          </w:tcPr>
          <w:p w14:paraId="56C52CD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单位</w:t>
            </w:r>
          </w:p>
        </w:tc>
        <w:tc>
          <w:tcPr>
            <w:tcW w:w="1401" w:type="dxa"/>
            <w:vAlign w:val="center"/>
          </w:tcPr>
          <w:p w14:paraId="504576CF">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单价（最高限价）</w:t>
            </w:r>
          </w:p>
        </w:tc>
      </w:tr>
      <w:tr w14:paraId="0DDC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5" w:type="dxa"/>
            <w:vAlign w:val="center"/>
          </w:tcPr>
          <w:p w14:paraId="23D9B56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2040" w:type="dxa"/>
            <w:vAlign w:val="center"/>
          </w:tcPr>
          <w:p w14:paraId="0F4B87E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7B81DD1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DN25及以下</w:t>
            </w:r>
          </w:p>
        </w:tc>
        <w:tc>
          <w:tcPr>
            <w:tcW w:w="1044" w:type="dxa"/>
            <w:vAlign w:val="center"/>
          </w:tcPr>
          <w:p w14:paraId="3FA9C8B2">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741BE800">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2C4F685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100</w:t>
            </w:r>
          </w:p>
        </w:tc>
      </w:tr>
      <w:tr w14:paraId="3DC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5" w:type="dxa"/>
            <w:vAlign w:val="center"/>
          </w:tcPr>
          <w:p w14:paraId="5461AF22">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2040" w:type="dxa"/>
            <w:vAlign w:val="center"/>
          </w:tcPr>
          <w:p w14:paraId="0468197D">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594CBE11">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DN25(不含）至DN65（含）</w:t>
            </w:r>
          </w:p>
        </w:tc>
        <w:tc>
          <w:tcPr>
            <w:tcW w:w="1044" w:type="dxa"/>
            <w:vAlign w:val="center"/>
          </w:tcPr>
          <w:p w14:paraId="47F0D028">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292B0BD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0544C8EA">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200</w:t>
            </w:r>
          </w:p>
        </w:tc>
      </w:tr>
      <w:tr w14:paraId="3602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95" w:type="dxa"/>
            <w:vAlign w:val="center"/>
          </w:tcPr>
          <w:p w14:paraId="132AA1D8">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2040" w:type="dxa"/>
            <w:vAlign w:val="center"/>
          </w:tcPr>
          <w:p w14:paraId="4B3F036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1F97AD8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DN65（不含）至DN100（含）</w:t>
            </w:r>
          </w:p>
        </w:tc>
        <w:tc>
          <w:tcPr>
            <w:tcW w:w="1044" w:type="dxa"/>
            <w:vAlign w:val="center"/>
          </w:tcPr>
          <w:p w14:paraId="22E65E8A">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1C86322E">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7E4D12F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400</w:t>
            </w:r>
          </w:p>
        </w:tc>
      </w:tr>
    </w:tbl>
    <w:p w14:paraId="4E0C6019">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5E4AC1A1">
      <w:pPr>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三、服务要求：</w:t>
      </w:r>
    </w:p>
    <w:p w14:paraId="6FB763FE">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1.本项目为年度零星维修服务项目，并非一次性维修或更换，服务期内按医院实际需求分次实施；</w:t>
      </w:r>
    </w:p>
    <w:p w14:paraId="0800DB3D">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2.投标人接到医院维修通知后须及时响应、按时到场、高效处置，满足医院日常维修保障要求；</w:t>
      </w:r>
    </w:p>
    <w:p w14:paraId="7EE9271A">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3.本项目维修服务包含人工、管道材料、管道焊接、拆装吊顶、管道上所有连接的配件，如：三通，弯头，不锈钢软接，闸阀及保温等所有材料，维修完成后试压确保使用正常，维修人员请自备工具；</w:t>
      </w:r>
    </w:p>
    <w:p w14:paraId="747FEE24">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4.本项目更换的空调主管道材料须为镀锌钢管，管径为DN32及以下管壁厚度为3.2mm及以上，管径为DN50及以下管壁厚度为3.5mm及以上，管径为DN100及以下管壁厚度为4.2mm及以上。</w:t>
      </w:r>
    </w:p>
    <w:p w14:paraId="7987044B">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5.维修服务要求：管道的拆除及保温材料的更换（更换后确保管道及保温严密无渗漏），吊顶拆装恢复，产生的垃圾及卫生的清理，现场自备防火布、警戒防护围栏，现场地面保护；</w:t>
      </w:r>
    </w:p>
    <w:p w14:paraId="0C09CC2C">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6.维修服务地点：滁州市第一人民医院（南区、北区、西区及儿童医院）</w:t>
      </w:r>
    </w:p>
    <w:p w14:paraId="6A20E79D">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7.本项目维修服务报价时须充分考虑到不能连续维修，且在吊顶上方维修，实施后需及时恢复，项目难度较大，具体工程量无法确认等等因素，具体结算工程量以科室、空调班组、实施方三方确认为准。</w:t>
      </w:r>
    </w:p>
    <w:p w14:paraId="4DA5D0B6">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8.工期要求：</w:t>
      </w:r>
    </w:p>
    <w:p w14:paraId="3F14C0A1">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（1）零星维修：自采购人下达维修通知之日起，3个日历天内完成。</w:t>
      </w:r>
    </w:p>
    <w:p w14:paraId="7D6636B0">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（2）多项维修任务集中汇总维修：自采购人下达集中维修通知之日起，20个日历天内完成。</w:t>
      </w:r>
    </w:p>
    <w:p w14:paraId="412C7689">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维修服务过程中务必做好消防安全等方面工作，一切安全责任事故由中标单位负责，与业主单位无关。</w:t>
      </w:r>
    </w:p>
    <w:p w14:paraId="7266E45C">
      <w:pPr>
        <w:rPr>
          <w:rFonts w:hint="eastAsia" w:ascii="宋体" w:hAnsi="宋体" w:eastAsia="宋体" w:cs="宋体"/>
          <w:b/>
          <w:bCs w:val="0"/>
          <w:snapToGrid/>
          <w:kern w:val="0"/>
          <w:sz w:val="24"/>
          <w:szCs w:val="24"/>
          <w:highlight w:val="none"/>
          <w:lang w:val="en-US" w:eastAsia="zh-CN" w:bidi="ar"/>
        </w:rPr>
      </w:pPr>
    </w:p>
    <w:p w14:paraId="20D6F527">
      <w:pPr>
        <w:rPr>
          <w:rFonts w:hint="eastAsia" w:ascii="宋体" w:hAnsi="宋体" w:eastAsia="宋体" w:cs="宋体"/>
          <w:b w:val="0"/>
          <w:bCs/>
          <w:sz w:val="24"/>
          <w:szCs w:val="24"/>
          <w:highlight w:val="none"/>
          <w:lang w:val="en-US" w:eastAsia="zh-CN"/>
        </w:rPr>
      </w:pPr>
      <w:r>
        <w:rPr>
          <w:rFonts w:hint="eastAsia" w:ascii="宋体" w:hAnsi="宋体" w:eastAsia="宋体" w:cs="宋体"/>
          <w:b/>
          <w:bCs w:val="0"/>
          <w:snapToGrid/>
          <w:kern w:val="0"/>
          <w:sz w:val="24"/>
          <w:szCs w:val="24"/>
          <w:highlight w:val="none"/>
          <w:lang w:val="en-US" w:eastAsia="zh-CN" w:bidi="ar"/>
        </w:rPr>
        <w:t>四、报价及结算：</w:t>
      </w:r>
    </w:p>
    <w:p w14:paraId="4D2C8B94">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1.投标人须按照报价单格式，完整报出各规格对应的单价及汇总总价，且单价均不可超过单项限价，汇总总价不得超出项目总限价，报价含人工、材料、机械、利润、风险等全部费用；</w:t>
      </w:r>
    </w:p>
    <w:p w14:paraId="3BA6F35F">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2.报价应充分考虑工程量偏差风险，一旦中标，综合单价在合同履行期内不做调整；</w:t>
      </w:r>
    </w:p>
    <w:p w14:paraId="0360A372">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3.维修服务按实际发生的维修项目及工程量结算，结算时以招标人、中标人共同确认的维修记录及验收文件为依据；</w:t>
      </w:r>
    </w:p>
    <w:p w14:paraId="27687DB9">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4.中标人每年实际完成的维修服务结算金额，以当年实际发生工程量×中标综合单价计算；每年累计结算金额不得超过当年预算额度（45万元/年），超年度预算部分招标人不予支付。</w:t>
      </w:r>
    </w:p>
    <w:p w14:paraId="76E2D489">
      <w:pPr>
        <w:spacing w:line="360" w:lineRule="auto"/>
        <w:jc w:val="left"/>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评标方法和标准（最低评标价法）</w:t>
      </w:r>
      <w:bookmarkEnd w:id="33"/>
    </w:p>
    <w:p w14:paraId="354C7511">
      <w:pPr>
        <w:spacing w:line="360" w:lineRule="auto"/>
        <w:ind w:firstLine="437"/>
        <w:outlineLvl w:val="1"/>
        <w:rPr>
          <w:rFonts w:ascii="宋体" w:hAnsi="宋体" w:eastAsia="宋体"/>
          <w:b/>
          <w:color w:val="auto"/>
          <w:sz w:val="24"/>
          <w:highlight w:val="none"/>
        </w:rPr>
      </w:pPr>
      <w:bookmarkStart w:id="34" w:name="_Toc11823"/>
      <w:bookmarkStart w:id="35" w:name="_Toc1246"/>
      <w:r>
        <w:rPr>
          <w:rFonts w:hint="eastAsia" w:ascii="宋体" w:hAnsi="宋体" w:eastAsia="宋体"/>
          <w:b/>
          <w:color w:val="auto"/>
          <w:sz w:val="24"/>
          <w:highlight w:val="none"/>
        </w:rPr>
        <w:t>一、总则</w:t>
      </w:r>
      <w:bookmarkEnd w:id="34"/>
      <w:bookmarkEnd w:id="35"/>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6" w:name="_Toc31871"/>
      <w:bookmarkStart w:id="37" w:name="_Toc13117"/>
      <w:r>
        <w:rPr>
          <w:rFonts w:hint="eastAsia" w:ascii="宋体" w:hAnsi="宋体" w:eastAsia="宋体"/>
          <w:b/>
          <w:color w:val="auto"/>
          <w:sz w:val="24"/>
          <w:highlight w:val="none"/>
        </w:rPr>
        <w:t>二、评标方法</w:t>
      </w:r>
      <w:bookmarkEnd w:id="36"/>
      <w:bookmarkEnd w:id="37"/>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743"/>
        <w:gridCol w:w="4549"/>
        <w:gridCol w:w="1917"/>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95"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5"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95"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营业执照等证明文件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2" w:type="pct"/>
            <w:vAlign w:val="center"/>
          </w:tcPr>
          <w:p w14:paraId="07C2C43C">
            <w:pPr>
              <w:keepNext w:val="0"/>
              <w:keepLines w:val="0"/>
              <w:suppressLineNumbers w:val="0"/>
              <w:spacing w:before="0" w:beforeAutospacing="0" w:after="0" w:afterAutospacing="0" w:line="360" w:lineRule="auto"/>
              <w:ind w:left="0" w:right="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95"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2"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95"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92"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95"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92" w:type="pct"/>
            <w:vAlign w:val="center"/>
          </w:tcPr>
          <w:p w14:paraId="552D7307">
            <w:pPr>
              <w:keepNext w:val="0"/>
              <w:keepLines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727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3509D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743" w:type="dxa"/>
            <w:vAlign w:val="center"/>
          </w:tcPr>
          <w:p w14:paraId="7A7118F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549" w:type="dxa"/>
            <w:vAlign w:val="center"/>
          </w:tcPr>
          <w:p w14:paraId="29B6DBC7">
            <w:pPr>
              <w:keepNext w:val="0"/>
              <w:keepLines w:val="0"/>
              <w:suppressLineNumbers w:val="0"/>
              <w:spacing w:before="0" w:beforeAutospacing="0" w:after="50" w:afterAutospacing="0" w:line="360" w:lineRule="auto"/>
              <w:ind w:left="0" w:right="-10" w:rightChars="0"/>
              <w:jc w:val="both"/>
              <w:rPr>
                <w:rFonts w:hint="default" w:ascii="宋体" w:hAnsi="宋体" w:eastAsia="宋体" w:cs="宋体"/>
                <w:sz w:val="24"/>
                <w:szCs w:val="24"/>
                <w:highlight w:val="none"/>
                <w:lang w:val="en-US" w:eastAsia="zh-CN"/>
              </w:rPr>
            </w:pPr>
            <w:r>
              <w:rPr>
                <w:rFonts w:hint="default" w:ascii="宋体" w:hAnsi="宋体" w:eastAsia="宋体" w:cs="宋体"/>
                <w:spacing w:val="10"/>
                <w:sz w:val="24"/>
                <w:szCs w:val="24"/>
                <w:highlight w:val="none"/>
              </w:rPr>
              <w:t>见第一章《投标邀请》</w:t>
            </w:r>
          </w:p>
        </w:tc>
        <w:tc>
          <w:tcPr>
            <w:tcW w:w="1917" w:type="dxa"/>
            <w:vAlign w:val="center"/>
          </w:tcPr>
          <w:p w14:paraId="73CBBEC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79161F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14E8955">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8" w:name="_Toc4682"/>
    </w:p>
    <w:p w14:paraId="1554FDE3">
      <w:pPr>
        <w:pStyle w:val="32"/>
        <w:rPr>
          <w:rFonts w:hint="eastAsia"/>
          <w:highlight w:val="none"/>
        </w:rPr>
      </w:pPr>
    </w:p>
    <w:p w14:paraId="35A1C517">
      <w:pPr>
        <w:pStyle w:val="32"/>
        <w:rPr>
          <w:rFonts w:hint="eastAsia"/>
          <w:highlight w:val="none"/>
        </w:rPr>
      </w:pPr>
    </w:p>
    <w:p w14:paraId="5BBFFCD6">
      <w:pPr>
        <w:pStyle w:val="32"/>
        <w:rPr>
          <w:rFonts w:hint="eastAsia"/>
          <w:highlight w:val="none"/>
        </w:rPr>
      </w:pPr>
    </w:p>
    <w:p w14:paraId="7910B4EC">
      <w:pPr>
        <w:pStyle w:val="32"/>
        <w:rPr>
          <w:rFonts w:hint="eastAsia"/>
          <w:highlight w:val="none"/>
        </w:rPr>
      </w:pPr>
    </w:p>
    <w:p w14:paraId="436E2329">
      <w:pPr>
        <w:pStyle w:val="32"/>
        <w:rPr>
          <w:rFonts w:hint="eastAsia"/>
          <w:highlight w:val="none"/>
        </w:rPr>
      </w:pPr>
    </w:p>
    <w:p w14:paraId="7DF5C790">
      <w:pPr>
        <w:pStyle w:val="3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486FDE04">
      <w:pPr>
        <w:spacing w:line="360" w:lineRule="auto"/>
        <w:jc w:val="center"/>
        <w:outlineLvl w:val="0"/>
        <w:rPr>
          <w:rFonts w:hint="eastAsia" w:ascii="宋体" w:hAnsi="宋体" w:eastAsia="宋体"/>
          <w:b/>
          <w:color w:val="auto"/>
          <w:sz w:val="28"/>
          <w:highlight w:val="none"/>
        </w:rPr>
      </w:pPr>
      <w:bookmarkStart w:id="39"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32"/>
        <w:rPr>
          <w:rFonts w:hint="eastAsia"/>
          <w:color w:val="000000" w:themeColor="text1"/>
          <w:highlight w:val="none"/>
          <w14:textFill>
            <w14:solidFill>
              <w14:schemeClr w14:val="tx1"/>
            </w14:solidFill>
          </w14:textFill>
        </w:rPr>
      </w:pPr>
    </w:p>
    <w:p w14:paraId="334B7189">
      <w:pPr>
        <w:pStyle w:val="32"/>
        <w:rPr>
          <w:rFonts w:hint="eastAsia"/>
          <w:color w:val="000000" w:themeColor="text1"/>
          <w:highlight w:val="none"/>
          <w14:textFill>
            <w14:solidFill>
              <w14:schemeClr w14:val="tx1"/>
            </w14:solidFill>
          </w14:textFill>
        </w:rPr>
      </w:pPr>
    </w:p>
    <w:p w14:paraId="057E633E">
      <w:pPr>
        <w:pStyle w:val="32"/>
        <w:rPr>
          <w:rFonts w:hint="eastAsia"/>
          <w:color w:val="000000" w:themeColor="text1"/>
          <w:highlight w:val="none"/>
          <w14:textFill>
            <w14:solidFill>
              <w14:schemeClr w14:val="tx1"/>
            </w14:solidFill>
          </w14:textFill>
        </w:rPr>
      </w:pPr>
    </w:p>
    <w:p w14:paraId="7E967140">
      <w:pPr>
        <w:pStyle w:val="32"/>
        <w:rPr>
          <w:rFonts w:hint="eastAsia"/>
          <w:color w:val="000000" w:themeColor="text1"/>
          <w:highlight w:val="none"/>
          <w14:textFill>
            <w14:solidFill>
              <w14:schemeClr w14:val="tx1"/>
            </w14:solidFill>
          </w14:textFill>
        </w:rPr>
      </w:pPr>
    </w:p>
    <w:p w14:paraId="09185692">
      <w:pPr>
        <w:pStyle w:val="32"/>
        <w:rPr>
          <w:rFonts w:hint="eastAsia"/>
          <w:color w:val="000000" w:themeColor="text1"/>
          <w:highlight w:val="none"/>
          <w14:textFill>
            <w14:solidFill>
              <w14:schemeClr w14:val="tx1"/>
            </w14:solidFill>
          </w14:textFill>
        </w:rPr>
      </w:pPr>
    </w:p>
    <w:p w14:paraId="42A27045">
      <w:pPr>
        <w:pStyle w:val="32"/>
        <w:rPr>
          <w:rFonts w:hint="eastAsia"/>
          <w:color w:val="000000" w:themeColor="text1"/>
          <w:highlight w:val="none"/>
          <w14:textFill>
            <w14:solidFill>
              <w14:schemeClr w14:val="tx1"/>
            </w14:solidFill>
          </w14:textFill>
        </w:rPr>
      </w:pPr>
    </w:p>
    <w:p w14:paraId="7E7A3F51">
      <w:pPr>
        <w:pStyle w:val="32"/>
        <w:rPr>
          <w:rFonts w:hint="eastAsia"/>
          <w:color w:val="000000" w:themeColor="text1"/>
          <w:highlight w:val="none"/>
          <w14:textFill>
            <w14:solidFill>
              <w14:schemeClr w14:val="tx1"/>
            </w14:solidFill>
          </w14:textFill>
        </w:rPr>
      </w:pPr>
    </w:p>
    <w:p w14:paraId="6A734DD2">
      <w:pPr>
        <w:pStyle w:val="32"/>
        <w:rPr>
          <w:rFonts w:hint="eastAsia"/>
          <w:color w:val="000000" w:themeColor="text1"/>
          <w:highlight w:val="none"/>
          <w14:textFill>
            <w14:solidFill>
              <w14:schemeClr w14:val="tx1"/>
            </w14:solidFill>
          </w14:textFill>
        </w:rPr>
      </w:pPr>
    </w:p>
    <w:p w14:paraId="27E58935">
      <w:pPr>
        <w:pStyle w:val="32"/>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0" w:name="_Toc2232"/>
      <w:bookmarkStart w:id="41" w:name="_Toc24059"/>
      <w:bookmarkStart w:id="42" w:name="_Toc3029"/>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0"/>
      <w:bookmarkEnd w:id="41"/>
      <w:bookmarkEnd w:id="42"/>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18585"/>
      <w:bookmarkStart w:id="44" w:name="_Toc2918"/>
      <w:bookmarkStart w:id="45" w:name="_Toc6773"/>
      <w:bookmarkStart w:id="46" w:name="_Toc22185"/>
      <w:bookmarkStart w:id="47" w:name="_Toc6311"/>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3"/>
      <w:bookmarkEnd w:id="44"/>
      <w:bookmarkEnd w:id="45"/>
      <w:bookmarkEnd w:id="46"/>
      <w:bookmarkEnd w:id="47"/>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8" w:name="_Toc21631"/>
      <w:bookmarkStart w:id="49" w:name="_Toc21551"/>
      <w:bookmarkStart w:id="50" w:name="_Toc23292"/>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8"/>
      <w:bookmarkEnd w:id="49"/>
      <w:bookmarkEnd w:id="50"/>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1814"/>
      <w:bookmarkStart w:id="52" w:name="_Toc10340"/>
      <w:bookmarkStart w:id="53" w:name="_Toc22618"/>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1"/>
      <w:bookmarkEnd w:id="52"/>
      <w:bookmarkEnd w:id="53"/>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4" w:name="_Toc2846"/>
      <w:bookmarkStart w:id="55" w:name="_Toc32071"/>
      <w:bookmarkStart w:id="56" w:name="_Toc1930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4"/>
      <w:bookmarkEnd w:id="55"/>
      <w:bookmarkEnd w:id="56"/>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7" w:name="_Toc27250"/>
      <w:bookmarkStart w:id="58" w:name="_Toc19554"/>
      <w:bookmarkStart w:id="59" w:name="_Toc21423"/>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7"/>
      <w:bookmarkEnd w:id="58"/>
      <w:bookmarkEnd w:id="59"/>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16021"/>
      <w:bookmarkStart w:id="61" w:name="_Toc15583"/>
      <w:bookmarkStart w:id="62" w:name="_Toc28375"/>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0"/>
      <w:bookmarkEnd w:id="61"/>
      <w:bookmarkEnd w:id="62"/>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3" w:name="_Toc7245"/>
      <w:bookmarkStart w:id="64" w:name="_Toc11173"/>
      <w:bookmarkStart w:id="65" w:name="_Toc15322"/>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3"/>
      <w:bookmarkEnd w:id="64"/>
      <w:bookmarkEnd w:id="65"/>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6"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7"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6"/>
      <w:bookmarkEnd w:id="67"/>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8" w:name="_Ref467378499"/>
      <w:bookmarkStart w:id="69" w:name="_Ref467379109"/>
      <w:bookmarkStart w:id="70" w:name="_Ref467379205"/>
      <w:bookmarkStart w:id="71" w:name="_Ref467379214"/>
      <w:bookmarkStart w:id="72" w:name="_Toc487900349"/>
      <w:bookmarkStart w:id="73" w:name="_Ref467379225"/>
      <w:bookmarkStart w:id="74" w:name="_Toc28763"/>
      <w:bookmarkStart w:id="75" w:name="_Toc16917"/>
      <w:bookmarkStart w:id="76" w:name="_Toc279701240"/>
      <w:bookmarkStart w:id="77" w:name="_Ref467378463"/>
      <w:bookmarkStart w:id="78" w:name="_Ref467379195"/>
      <w:bookmarkStart w:id="79" w:name="_Toc19614"/>
      <w:bookmarkStart w:id="80" w:name="_Ref467379094"/>
      <w:bookmarkStart w:id="81" w:name="_Ref467379101"/>
      <w:bookmarkStart w:id="82" w:name="_Ref467378404"/>
      <w:bookmarkStart w:id="83" w:name="_Toc259093669"/>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4"/>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5"/>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6"/>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7" w:name="_Toc27635"/>
      <w:bookmarkStart w:id="88" w:name="_Toc279701241"/>
      <w:bookmarkStart w:id="89" w:name="_Toc259093670"/>
      <w:bookmarkStart w:id="90" w:name="_Toc13336"/>
      <w:bookmarkStart w:id="91" w:name="_Toc487900350"/>
      <w:bookmarkStart w:id="92" w:name="_Toc3250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7"/>
      <w:bookmarkEnd w:id="88"/>
      <w:bookmarkEnd w:id="89"/>
      <w:bookmarkEnd w:id="90"/>
      <w:bookmarkEnd w:id="91"/>
      <w:bookmarkEnd w:id="92"/>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3" w:name="_Toc279701242"/>
      <w:bookmarkStart w:id="94" w:name="_Toc9829"/>
      <w:bookmarkStart w:id="95" w:name="_Toc259093671"/>
      <w:bookmarkStart w:id="96" w:name="_Toc27853"/>
      <w:bookmarkStart w:id="97" w:name="_Toc31634"/>
      <w:bookmarkStart w:id="98" w:name="_Toc48790035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3"/>
      <w:bookmarkEnd w:id="94"/>
      <w:bookmarkEnd w:id="95"/>
      <w:bookmarkEnd w:id="96"/>
      <w:bookmarkEnd w:id="97"/>
      <w:bookmarkEnd w:id="98"/>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9" w:name="_Toc487900354"/>
      <w:bookmarkStart w:id="100" w:name="_Toc259093674"/>
      <w:bookmarkStart w:id="101" w:name="_Ref467379536"/>
      <w:bookmarkStart w:id="102" w:name="_Ref467378591"/>
      <w:bookmarkStart w:id="103" w:name="_Toc279701245"/>
      <w:bookmarkStart w:id="104" w:name="_Ref467378541"/>
      <w:bookmarkStart w:id="105" w:name="_Ref467379542"/>
      <w:bookmarkStart w:id="106" w:name="_Ref467379527"/>
      <w:bookmarkStart w:id="107" w:name="_Toc26182"/>
      <w:bookmarkStart w:id="108" w:name="_Toc19074"/>
      <w:bookmarkStart w:id="109" w:name="_Toc3027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7"/>
      <w:bookmarkEnd w:id="108"/>
      <w:bookmarkEnd w:id="109"/>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0" w:name="_Toc186431854"/>
      <w:bookmarkStart w:id="111" w:name="_Ref467379793"/>
      <w:bookmarkStart w:id="112" w:name="_Toc279701247"/>
      <w:bookmarkStart w:id="113" w:name="_Ref467379807"/>
      <w:bookmarkStart w:id="114" w:name="_Toc487900357"/>
      <w:bookmarkStart w:id="115" w:name="_Toc259093676"/>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6"/>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7" w:name="_Toc19219"/>
      <w:bookmarkStart w:id="118" w:name="_Toc7836"/>
      <w:bookmarkStart w:id="119" w:name="_Toc2845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1"/>
      <w:bookmarkEnd w:id="112"/>
      <w:bookmarkEnd w:id="113"/>
      <w:bookmarkEnd w:id="114"/>
      <w:bookmarkEnd w:id="115"/>
      <w:bookmarkEnd w:id="117"/>
      <w:bookmarkEnd w:id="118"/>
      <w:bookmarkEnd w:id="119"/>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Toc279701248"/>
      <w:bookmarkStart w:id="121" w:name="_Ref467379923"/>
      <w:bookmarkStart w:id="122" w:name="_Toc487900358"/>
      <w:bookmarkStart w:id="123" w:name="_Ref467379863"/>
      <w:bookmarkStart w:id="124" w:name="_Ref467379852"/>
      <w:bookmarkStart w:id="125" w:name="_Toc259093677"/>
      <w:bookmarkStart w:id="126" w:name="_Toc3225"/>
      <w:bookmarkStart w:id="127" w:name="_Toc774"/>
      <w:bookmarkStart w:id="128" w:name="_Toc1611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0"/>
      <w:bookmarkEnd w:id="121"/>
      <w:bookmarkEnd w:id="122"/>
      <w:bookmarkEnd w:id="123"/>
      <w:bookmarkEnd w:id="124"/>
      <w:bookmarkEnd w:id="125"/>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6"/>
      <w:bookmarkEnd w:id="127"/>
      <w:bookmarkEnd w:id="128"/>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9"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29"/>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0"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0"/>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1" w:name="_Toc7502"/>
      <w:bookmarkStart w:id="132" w:name="_Toc487900364"/>
      <w:bookmarkStart w:id="133" w:name="_Toc279701254"/>
      <w:bookmarkStart w:id="134" w:name="_Toc259093683"/>
      <w:bookmarkStart w:id="135" w:name="_Ref467378121"/>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1"/>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6" w:name="_Toc259093688"/>
      <w:bookmarkStart w:id="137" w:name="_Toc487900369"/>
      <w:bookmarkStart w:id="138" w:name="_Toc279701259"/>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9" w:name="_Toc10366"/>
      <w:bookmarkStart w:id="140" w:name="_Toc22955"/>
      <w:bookmarkStart w:id="141" w:name="_Toc1523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6"/>
      <w:bookmarkEnd w:id="137"/>
      <w:bookmarkEnd w:id="138"/>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39"/>
      <w:bookmarkEnd w:id="140"/>
      <w:bookmarkEnd w:id="141"/>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6508"/>
      <w:bookmarkStart w:id="143" w:name="_Toc13566"/>
      <w:bookmarkStart w:id="144" w:name="_Toc1406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2"/>
      <w:bookmarkEnd w:id="143"/>
      <w:bookmarkEnd w:id="144"/>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6969"/>
      <w:bookmarkStart w:id="146" w:name="_Toc279701255"/>
      <w:bookmarkStart w:id="147" w:name="_Toc487900365"/>
      <w:bookmarkStart w:id="148" w:name="_Toc689"/>
      <w:bookmarkStart w:id="149" w:name="_Toc30676"/>
      <w:bookmarkStart w:id="150" w:name="_Toc25909368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5"/>
      <w:bookmarkEnd w:id="146"/>
      <w:bookmarkEnd w:id="147"/>
      <w:bookmarkEnd w:id="148"/>
      <w:bookmarkEnd w:id="149"/>
      <w:bookmarkEnd w:id="150"/>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1" w:name="_Toc259093687"/>
      <w:bookmarkStart w:id="152" w:name="_Toc16959"/>
      <w:bookmarkStart w:id="153" w:name="_Toc487900368"/>
      <w:bookmarkStart w:id="154" w:name="_Toc8298"/>
      <w:bookmarkStart w:id="155" w:name="_Toc7102"/>
      <w:bookmarkStart w:id="156" w:name="_Toc279701258"/>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1"/>
      <w:bookmarkEnd w:id="152"/>
      <w:bookmarkEnd w:id="153"/>
      <w:bookmarkEnd w:id="154"/>
      <w:bookmarkEnd w:id="155"/>
      <w:bookmarkEnd w:id="156"/>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7" w:name="_Toc29333"/>
      <w:bookmarkStart w:id="158" w:name="_Toc6134"/>
      <w:bookmarkStart w:id="159" w:name="_Toc1538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7"/>
      <w:bookmarkEnd w:id="158"/>
      <w:bookmarkEnd w:id="159"/>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14563"/>
      <w:bookmarkStart w:id="161" w:name="_Toc1125"/>
      <w:bookmarkStart w:id="162" w:name="_Toc659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0"/>
      <w:bookmarkEnd w:id="161"/>
      <w:bookmarkEnd w:id="162"/>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2"/>
    <w:bookmarkEnd w:id="133"/>
    <w:bookmarkEnd w:id="134"/>
    <w:bookmarkEnd w:id="135"/>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3" w:name="_Toc487900373"/>
      <w:bookmarkStart w:id="164" w:name="_Toc259093692"/>
      <w:bookmarkStart w:id="165" w:name="_Toc12773"/>
      <w:bookmarkStart w:id="166" w:name="_Toc10330"/>
      <w:bookmarkStart w:id="167" w:name="_Toc18567"/>
      <w:bookmarkStart w:id="168" w:name="_Toc279701263"/>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3"/>
      <w:bookmarkEnd w:id="164"/>
      <w:bookmarkEnd w:id="165"/>
      <w:bookmarkEnd w:id="166"/>
      <w:bookmarkEnd w:id="167"/>
      <w:bookmarkEnd w:id="168"/>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9" w:name="_Toc279701264"/>
      <w:bookmarkStart w:id="170" w:name="_Toc12004"/>
      <w:bookmarkStart w:id="171" w:name="_Toc259093693"/>
      <w:bookmarkStart w:id="172" w:name="_Toc3148"/>
      <w:bookmarkStart w:id="173" w:name="_Toc16673"/>
      <w:bookmarkStart w:id="174"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69"/>
      <w:bookmarkEnd w:id="170"/>
      <w:bookmarkEnd w:id="171"/>
      <w:bookmarkEnd w:id="172"/>
      <w:bookmarkEnd w:id="173"/>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4"/>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5" w:name="_Toc6885"/>
      <w:bookmarkStart w:id="176" w:name="_Toc19890"/>
      <w:bookmarkStart w:id="177" w:name="_Toc1400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5"/>
      <w:bookmarkEnd w:id="176"/>
      <w:bookmarkEnd w:id="177"/>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8" w:name="_Toc24967"/>
      <w:bookmarkStart w:id="179"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78"/>
      <w:bookmarkEnd w:id="179"/>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00932A7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39"/>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180"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0"/>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181" w:name="_Toc651"/>
      <w:r>
        <w:rPr>
          <w:rFonts w:hint="eastAsia" w:ascii="宋体" w:hAnsi="宋体" w:eastAsia="宋体"/>
          <w:b/>
          <w:color w:val="auto"/>
          <w:sz w:val="72"/>
          <w:highlight w:val="none"/>
        </w:rPr>
        <w:t>投</w:t>
      </w:r>
      <w:bookmarkEnd w:id="181"/>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182" w:name="_Toc6148"/>
      <w:r>
        <w:rPr>
          <w:rFonts w:hint="eastAsia" w:ascii="宋体" w:hAnsi="宋体" w:eastAsia="宋体"/>
          <w:b/>
          <w:color w:val="auto"/>
          <w:sz w:val="72"/>
          <w:highlight w:val="none"/>
        </w:rPr>
        <w:t>标</w:t>
      </w:r>
      <w:bookmarkEnd w:id="182"/>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183" w:name="_Toc1338"/>
      <w:r>
        <w:rPr>
          <w:rFonts w:hint="eastAsia" w:ascii="宋体" w:hAnsi="宋体" w:eastAsia="宋体"/>
          <w:b/>
          <w:color w:val="auto"/>
          <w:sz w:val="72"/>
          <w:highlight w:val="none"/>
        </w:rPr>
        <w:t>文</w:t>
      </w:r>
      <w:bookmarkEnd w:id="183"/>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184" w:name="_Toc10796"/>
      <w:r>
        <w:rPr>
          <w:rFonts w:hint="eastAsia" w:ascii="宋体" w:hAnsi="宋体" w:eastAsia="宋体"/>
          <w:b/>
          <w:color w:val="auto"/>
          <w:sz w:val="72"/>
          <w:highlight w:val="none"/>
        </w:rPr>
        <w:t>件</w:t>
      </w:r>
      <w:bookmarkEnd w:id="184"/>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964" w:firstLineChars="3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964" w:firstLineChars="3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964" w:firstLineChars="3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5" w:name="_Toc9994"/>
      <w:bookmarkStart w:id="186"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5"/>
      <w:bookmarkEnd w:id="186"/>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3D0371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（1）授权书；（格式见附件）</w:t>
      </w:r>
    </w:p>
    <w:p w14:paraId="3A131FA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（2）营业执照等证明文件；</w:t>
      </w:r>
    </w:p>
    <w:p w14:paraId="7B9E4CD7">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（3）资质证书及安全生产许可证；</w:t>
      </w:r>
    </w:p>
    <w:p w14:paraId="6EBCB13E">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（4）拟派现场主要施工人员证书；</w:t>
      </w:r>
    </w:p>
    <w:p w14:paraId="3C70040C">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（5）投标人资格声明书；（格式见附件）</w:t>
      </w:r>
    </w:p>
    <w:p w14:paraId="113C7A74">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3568AA3D">
      <w:pPr>
        <w:pStyle w:val="32"/>
        <w:rPr>
          <w:rFonts w:hint="eastAsia"/>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0F3EDDE">
      <w:pPr>
        <w:widowControl/>
        <w:jc w:val="left"/>
        <w:rPr>
          <w:rFonts w:hint="eastAsia" w:ascii="宋体" w:hAnsi="宋体" w:eastAsia="宋体"/>
          <w:b/>
          <w:color w:val="auto"/>
          <w:sz w:val="24"/>
          <w:highlight w:val="none"/>
          <w:lang w:val="en-US" w:eastAsia="zh-CN"/>
        </w:rPr>
      </w:pPr>
      <w:r>
        <w:rPr>
          <w:rFonts w:ascii="宋体" w:hAnsi="宋体" w:eastAsia="宋体"/>
          <w:color w:val="auto"/>
          <w:sz w:val="24"/>
          <w:highlight w:val="none"/>
        </w:rPr>
        <w:br w:type="page"/>
      </w:r>
      <w:bookmarkStart w:id="187"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二、投标人资格声明书</w:t>
      </w:r>
      <w:bookmarkEnd w:id="187"/>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188" w:name="_Toc11607"/>
      <w:r>
        <w:rPr>
          <w:rFonts w:hint="eastAsia" w:ascii="宋体" w:hAnsi="宋体" w:eastAsia="宋体"/>
          <w:b/>
          <w:color w:val="auto"/>
          <w:sz w:val="24"/>
          <w:highlight w:val="none"/>
        </w:rPr>
        <w:br w:type="page"/>
      </w:r>
    </w:p>
    <w:bookmarkEnd w:id="188"/>
    <w:p w14:paraId="7E77EDDA">
      <w:pPr>
        <w:widowControl/>
        <w:jc w:val="center"/>
        <w:rPr>
          <w:rFonts w:hint="eastAsia" w:ascii="宋体" w:hAnsi="宋体" w:eastAsia="宋体"/>
          <w:b/>
          <w:color w:val="auto"/>
          <w:sz w:val="24"/>
          <w:highlight w:val="none"/>
          <w:lang w:val="en-US" w:eastAsia="zh-CN"/>
        </w:rPr>
      </w:pPr>
      <w:bookmarkStart w:id="189" w:name="_Toc520299348"/>
      <w:bookmarkStart w:id="190" w:name="_Toc457768004"/>
      <w:bookmarkStart w:id="191" w:name="_Toc300210382"/>
      <w:bookmarkStart w:id="192" w:name="_Toc26536"/>
      <w:bookmarkStart w:id="193" w:name="_Toc25813"/>
      <w:bookmarkStart w:id="194" w:name="_Hlk11701496"/>
      <w:r>
        <w:rPr>
          <w:rFonts w:hint="eastAsia" w:ascii="宋体" w:hAnsi="宋体" w:eastAsia="宋体"/>
          <w:b/>
          <w:color w:val="auto"/>
          <w:sz w:val="24"/>
          <w:highlight w:val="none"/>
          <w:lang w:val="en-US" w:eastAsia="zh-CN"/>
        </w:rPr>
        <w:t>三、</w:t>
      </w:r>
      <w:bookmarkEnd w:id="189"/>
      <w:bookmarkEnd w:id="190"/>
      <w:bookmarkEnd w:id="191"/>
      <w:r>
        <w:rPr>
          <w:rFonts w:hint="eastAsia" w:ascii="宋体" w:hAnsi="宋体" w:eastAsia="宋体"/>
          <w:b/>
          <w:color w:val="auto"/>
          <w:sz w:val="24"/>
          <w:highlight w:val="none"/>
          <w:lang w:val="en-US" w:eastAsia="zh-CN"/>
        </w:rPr>
        <w:t>诚信履约承诺函</w:t>
      </w:r>
      <w:bookmarkEnd w:id="192"/>
      <w:bookmarkEnd w:id="193"/>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195" w:name="_Toc31244"/>
      <w:bookmarkStart w:id="196" w:name="OLE_LINK13"/>
      <w:bookmarkStart w:id="197" w:name="OLE_LINK14"/>
      <w:bookmarkStart w:id="198" w:name="_Toc9573"/>
    </w:p>
    <w:bookmarkEnd w:id="194"/>
    <w:bookmarkEnd w:id="195"/>
    <w:bookmarkEnd w:id="196"/>
    <w:bookmarkEnd w:id="197"/>
    <w:bookmarkEnd w:id="198"/>
    <w:p w14:paraId="3A5ACE8A">
      <w:pPr>
        <w:spacing w:line="360" w:lineRule="auto"/>
        <w:jc w:val="center"/>
        <w:outlineLvl w:val="0"/>
        <w:rPr>
          <w:rFonts w:ascii="宋体" w:hAnsi="宋体" w:eastAsia="宋体"/>
          <w:b/>
          <w:color w:val="auto"/>
          <w:sz w:val="28"/>
          <w:highlight w:val="none"/>
        </w:rPr>
      </w:pPr>
      <w:bookmarkStart w:id="199" w:name="_Toc6435"/>
      <w:bookmarkStart w:id="200" w:name="_Toc18131"/>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9994BF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603B920B">
      <w:pPr>
        <w:spacing w:line="360" w:lineRule="auto"/>
        <w:ind w:firstLine="435"/>
        <w:rPr>
          <w:rFonts w:hint="default"/>
          <w:highlight w:val="none"/>
          <w:lang w:val="en-US" w:eastAsia="zh-CN"/>
        </w:rPr>
      </w:pPr>
      <w:r>
        <w:rPr>
          <w:rFonts w:hint="eastAsia" w:ascii="宋体" w:hAnsi="宋体" w:eastAsia="宋体" w:cs="宋体"/>
          <w:color w:val="auto"/>
          <w:sz w:val="24"/>
          <w:highlight w:val="none"/>
          <w:lang w:val="en-US" w:eastAsia="zh-CN"/>
        </w:rPr>
        <w:t>（4）报价单（格式见附件）；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（5）投标人认为需要提供的其他商务材料；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9"/>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201" w:name="_Toc5555"/>
      <w:bookmarkStart w:id="202" w:name="_Toc28960"/>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6441"/>
      <w:bookmarkStart w:id="204" w:name="_Toc18010"/>
      <w:r>
        <w:rPr>
          <w:rFonts w:hint="eastAsia" w:ascii="宋体" w:hAnsi="宋体" w:eastAsia="宋体"/>
          <w:b/>
          <w:color w:val="auto"/>
          <w:sz w:val="24"/>
          <w:highlight w:val="none"/>
        </w:rPr>
        <w:t>二、投标函</w:t>
      </w:r>
      <w:bookmarkEnd w:id="203"/>
      <w:bookmarkEnd w:id="204"/>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205" w:name="_Toc31991"/>
      <w:bookmarkStart w:id="206"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bookmarkEnd w:id="205"/>
    <w:bookmarkEnd w:id="206"/>
    <w:p w14:paraId="4E7CEC90">
      <w:pPr>
        <w:spacing w:line="360" w:lineRule="auto"/>
        <w:jc w:val="center"/>
        <w:outlineLvl w:val="1"/>
        <w:rPr>
          <w:rFonts w:hint="default" w:ascii="宋体" w:hAnsi="宋体" w:eastAsia="宋体"/>
          <w:b/>
          <w:color w:val="auto"/>
          <w:sz w:val="24"/>
          <w:highlight w:val="none"/>
          <w:lang w:val="en-US" w:eastAsia="zh-CN"/>
        </w:rPr>
      </w:pPr>
      <w:bookmarkStart w:id="207" w:name="_Toc20329"/>
      <w:bookmarkStart w:id="208" w:name="_Toc11940"/>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7"/>
      <w:bookmarkEnd w:id="208"/>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63AA603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四、报价单</w:t>
      </w:r>
    </w:p>
    <w:p w14:paraId="43E26B1B">
      <w:pPr>
        <w:spacing w:line="360" w:lineRule="auto"/>
        <w:jc w:val="center"/>
        <w:outlineLvl w:val="1"/>
        <w:rPr>
          <w:rFonts w:hint="eastAsia" w:ascii="宋体" w:hAnsi="宋体" w:eastAsia="宋体"/>
          <w:b/>
          <w:color w:val="auto"/>
          <w:sz w:val="24"/>
          <w:highlight w:val="none"/>
          <w:lang w:val="en-US" w:eastAsia="zh-CN"/>
        </w:rPr>
      </w:pPr>
    </w:p>
    <w:tbl>
      <w:tblPr>
        <w:tblStyle w:val="27"/>
        <w:tblW w:w="10335"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890"/>
        <w:gridCol w:w="1830"/>
        <w:gridCol w:w="720"/>
        <w:gridCol w:w="720"/>
        <w:gridCol w:w="1170"/>
        <w:gridCol w:w="1050"/>
        <w:gridCol w:w="1005"/>
        <w:gridCol w:w="1245"/>
      </w:tblGrid>
      <w:tr w14:paraId="1467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5" w:type="dxa"/>
            <w:vAlign w:val="center"/>
          </w:tcPr>
          <w:p w14:paraId="1F2B080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890" w:type="dxa"/>
            <w:vAlign w:val="center"/>
          </w:tcPr>
          <w:p w14:paraId="5B50BA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维修服务类别</w:t>
            </w:r>
          </w:p>
        </w:tc>
        <w:tc>
          <w:tcPr>
            <w:tcW w:w="1830" w:type="dxa"/>
            <w:vAlign w:val="center"/>
          </w:tcPr>
          <w:p w14:paraId="6B3F026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规格</w:t>
            </w:r>
          </w:p>
        </w:tc>
        <w:tc>
          <w:tcPr>
            <w:tcW w:w="720" w:type="dxa"/>
            <w:vAlign w:val="center"/>
          </w:tcPr>
          <w:p w14:paraId="7BD67CE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数量</w:t>
            </w:r>
          </w:p>
        </w:tc>
        <w:tc>
          <w:tcPr>
            <w:tcW w:w="720" w:type="dxa"/>
            <w:vAlign w:val="center"/>
          </w:tcPr>
          <w:p w14:paraId="19B5698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单位</w:t>
            </w:r>
          </w:p>
        </w:tc>
        <w:tc>
          <w:tcPr>
            <w:tcW w:w="1170" w:type="dxa"/>
            <w:vAlign w:val="center"/>
          </w:tcPr>
          <w:p w14:paraId="5388AF6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单价（最高限价）</w:t>
            </w:r>
          </w:p>
        </w:tc>
        <w:tc>
          <w:tcPr>
            <w:tcW w:w="1050" w:type="dxa"/>
            <w:vAlign w:val="center"/>
          </w:tcPr>
          <w:p w14:paraId="7FC0FF8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报价（单价）</w:t>
            </w:r>
          </w:p>
        </w:tc>
        <w:tc>
          <w:tcPr>
            <w:tcW w:w="1005" w:type="dxa"/>
            <w:vAlign w:val="center"/>
          </w:tcPr>
          <w:p w14:paraId="77F41BE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小计</w:t>
            </w:r>
          </w:p>
        </w:tc>
        <w:tc>
          <w:tcPr>
            <w:tcW w:w="1245" w:type="dxa"/>
            <w:vAlign w:val="center"/>
          </w:tcPr>
          <w:p w14:paraId="7F1EDB6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备注</w:t>
            </w:r>
          </w:p>
        </w:tc>
      </w:tr>
      <w:tr w14:paraId="4EF0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vAlign w:val="center"/>
          </w:tcPr>
          <w:p w14:paraId="53204D5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890" w:type="dxa"/>
            <w:vAlign w:val="center"/>
          </w:tcPr>
          <w:p w14:paraId="040C7A7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管道更换服务</w:t>
            </w:r>
          </w:p>
        </w:tc>
        <w:tc>
          <w:tcPr>
            <w:tcW w:w="1830" w:type="dxa"/>
            <w:vAlign w:val="center"/>
          </w:tcPr>
          <w:p w14:paraId="1E41700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DN25及以下</w:t>
            </w:r>
          </w:p>
        </w:tc>
        <w:tc>
          <w:tcPr>
            <w:tcW w:w="720" w:type="dxa"/>
            <w:vAlign w:val="center"/>
          </w:tcPr>
          <w:p w14:paraId="54D01E1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250</w:t>
            </w:r>
          </w:p>
        </w:tc>
        <w:tc>
          <w:tcPr>
            <w:tcW w:w="720" w:type="dxa"/>
            <w:vAlign w:val="center"/>
          </w:tcPr>
          <w:p w14:paraId="308B1E1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175141F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100</w:t>
            </w:r>
          </w:p>
        </w:tc>
        <w:tc>
          <w:tcPr>
            <w:tcW w:w="1050" w:type="dxa"/>
            <w:vAlign w:val="center"/>
          </w:tcPr>
          <w:p w14:paraId="415377D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450607F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restart"/>
            <w:vAlign w:val="center"/>
          </w:tcPr>
          <w:p w14:paraId="03D5BDA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1"/>
                <w:szCs w:val="21"/>
                <w:highlight w:val="none"/>
                <w:lang w:val="en-US" w:eastAsia="zh-CN"/>
              </w:rPr>
              <w:t>更换的空调主管道材料为镀锌钢管，管径为DN32及以下管壁厚度为3.2mm及以上，管径为DN50及以下管壁厚度为3.5mm及以上，管径为DN100及以下管壁厚度为4.2mm及以上。</w:t>
            </w:r>
          </w:p>
        </w:tc>
      </w:tr>
      <w:tr w14:paraId="0E36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vAlign w:val="center"/>
          </w:tcPr>
          <w:p w14:paraId="5DA2961A">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890" w:type="dxa"/>
            <w:vAlign w:val="center"/>
          </w:tcPr>
          <w:p w14:paraId="798D6710">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管道更换服务</w:t>
            </w:r>
          </w:p>
        </w:tc>
        <w:tc>
          <w:tcPr>
            <w:tcW w:w="1830" w:type="dxa"/>
            <w:vAlign w:val="center"/>
          </w:tcPr>
          <w:p w14:paraId="52F7DA5B">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DN25(不含）至DN65（含）</w:t>
            </w:r>
          </w:p>
        </w:tc>
        <w:tc>
          <w:tcPr>
            <w:tcW w:w="720" w:type="dxa"/>
            <w:vAlign w:val="center"/>
          </w:tcPr>
          <w:p w14:paraId="559FF7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350</w:t>
            </w:r>
          </w:p>
        </w:tc>
        <w:tc>
          <w:tcPr>
            <w:tcW w:w="720" w:type="dxa"/>
            <w:vAlign w:val="center"/>
          </w:tcPr>
          <w:p w14:paraId="6F02B24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46B33BB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200</w:t>
            </w:r>
          </w:p>
        </w:tc>
        <w:tc>
          <w:tcPr>
            <w:tcW w:w="1050" w:type="dxa"/>
            <w:vAlign w:val="center"/>
          </w:tcPr>
          <w:p w14:paraId="63FABAF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3639AD5B">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23A62FA8">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r w14:paraId="447E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5" w:type="dxa"/>
            <w:vAlign w:val="center"/>
          </w:tcPr>
          <w:p w14:paraId="4338F99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1890" w:type="dxa"/>
            <w:vAlign w:val="center"/>
          </w:tcPr>
          <w:p w14:paraId="7A4C1D4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管道更换服务</w:t>
            </w:r>
          </w:p>
        </w:tc>
        <w:tc>
          <w:tcPr>
            <w:tcW w:w="1830" w:type="dxa"/>
            <w:vAlign w:val="center"/>
          </w:tcPr>
          <w:p w14:paraId="2FEB8F10">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DN65（不含）至DN100（含）</w:t>
            </w:r>
          </w:p>
        </w:tc>
        <w:tc>
          <w:tcPr>
            <w:tcW w:w="720" w:type="dxa"/>
            <w:vAlign w:val="center"/>
          </w:tcPr>
          <w:p w14:paraId="7CC763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550</w:t>
            </w:r>
          </w:p>
        </w:tc>
        <w:tc>
          <w:tcPr>
            <w:tcW w:w="720" w:type="dxa"/>
            <w:vAlign w:val="center"/>
          </w:tcPr>
          <w:p w14:paraId="75B8D24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0C4809C8">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400</w:t>
            </w:r>
          </w:p>
        </w:tc>
        <w:tc>
          <w:tcPr>
            <w:tcW w:w="1050" w:type="dxa"/>
            <w:vAlign w:val="center"/>
          </w:tcPr>
          <w:p w14:paraId="771EC88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07C1F9F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1AF861AE">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r w14:paraId="28A3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85" w:type="dxa"/>
            <w:gridSpan w:val="7"/>
            <w:vAlign w:val="center"/>
          </w:tcPr>
          <w:p w14:paraId="7063F52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合计</w:t>
            </w:r>
          </w:p>
        </w:tc>
        <w:tc>
          <w:tcPr>
            <w:tcW w:w="1005" w:type="dxa"/>
            <w:vAlign w:val="center"/>
          </w:tcPr>
          <w:p w14:paraId="4550670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41EEE411">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bl>
    <w:p w14:paraId="5C01829B">
      <w:pPr>
        <w:spacing w:line="360" w:lineRule="auto"/>
        <w:rPr>
          <w:rFonts w:hint="eastAsia" w:ascii="宋体" w:hAnsi="宋体" w:eastAsia="宋体"/>
          <w:color w:val="auto"/>
          <w:sz w:val="24"/>
          <w:highlight w:val="none"/>
          <w:lang w:val="en-US" w:eastAsia="zh-CN"/>
        </w:rPr>
      </w:pPr>
    </w:p>
    <w:p w14:paraId="2B72B6A4">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注：</w:t>
      </w:r>
    </w:p>
    <w:p w14:paraId="0A6D2FC9">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1.本报价单所列数量仅为参考，不作为实际工程量依据，实际结算以项目实施期间实际发生的合格工程量为准。</w:t>
      </w:r>
    </w:p>
    <w:p w14:paraId="2A9CA2A5">
      <w:pPr>
        <w:numPr>
          <w:ilvl w:val="0"/>
          <w:numId w:val="0"/>
        </w:num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2.各潜在的投标人投标前充分实地勘察调研考虑各院区中央空调主管道情况及其他所有不确定的风险因素，中标后如拒绝履约的，以后不得参加院方任何投标项目。</w:t>
      </w:r>
    </w:p>
    <w:p w14:paraId="5139F5D4">
      <w:pPr>
        <w:numPr>
          <w:ilvl w:val="0"/>
          <w:numId w:val="0"/>
        </w:num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3.勘察现场联系人：汪工17856033393  赵工13955018512</w:t>
      </w:r>
    </w:p>
    <w:p w14:paraId="1E8082D4">
      <w:pPr>
        <w:spacing w:line="360" w:lineRule="auto"/>
        <w:ind w:firstLine="480" w:firstLineChars="200"/>
        <w:rPr>
          <w:rFonts w:hint="default" w:ascii="宋体" w:hAnsi="宋体" w:eastAsia="宋体"/>
          <w:color w:val="auto"/>
          <w:sz w:val="24"/>
          <w:highlight w:val="none"/>
          <w:lang w:val="en-US" w:eastAsia="zh-CN"/>
        </w:rPr>
      </w:pPr>
    </w:p>
    <w:p w14:paraId="448830AD">
      <w:pPr>
        <w:spacing w:line="360" w:lineRule="auto"/>
        <w:jc w:val="center"/>
        <w:outlineLvl w:val="0"/>
        <w:rPr>
          <w:rFonts w:hint="eastAsia" w:ascii="宋体" w:hAnsi="宋体" w:eastAsia="宋体"/>
          <w:b/>
          <w:color w:val="auto"/>
          <w:sz w:val="28"/>
          <w:highlight w:val="none"/>
        </w:rPr>
      </w:pPr>
    </w:p>
    <w:p w14:paraId="2AD1D499">
      <w:pPr>
        <w:spacing w:line="360" w:lineRule="auto"/>
        <w:jc w:val="center"/>
        <w:outlineLvl w:val="0"/>
        <w:rPr>
          <w:rFonts w:hint="eastAsia" w:ascii="宋体" w:hAnsi="宋体" w:eastAsia="宋体"/>
          <w:b/>
          <w:color w:val="auto"/>
          <w:sz w:val="28"/>
          <w:highlight w:val="none"/>
        </w:rPr>
      </w:pPr>
    </w:p>
    <w:p w14:paraId="2806E8C6">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1998D8EC">
      <w:pPr>
        <w:spacing w:line="360" w:lineRule="auto"/>
        <w:jc w:val="center"/>
        <w:outlineLvl w:val="1"/>
        <w:rPr>
          <w:rFonts w:ascii="仿宋" w:hAnsi="仿宋" w:eastAsia="仿宋" w:cs="仿宋"/>
          <w:b/>
          <w:bCs/>
          <w:color w:val="auto"/>
          <w:sz w:val="32"/>
          <w:szCs w:val="44"/>
          <w:highlight w:val="none"/>
        </w:rPr>
      </w:pPr>
      <w:bookmarkStart w:id="209" w:name="_Toc27489"/>
      <w:bookmarkStart w:id="210" w:name="_Toc27159"/>
      <w:r>
        <w:rPr>
          <w:rFonts w:hint="eastAsia" w:ascii="仿宋" w:hAnsi="仿宋" w:eastAsia="仿宋" w:cs="仿宋"/>
          <w:b/>
          <w:bCs/>
          <w:color w:val="auto"/>
          <w:sz w:val="32"/>
          <w:szCs w:val="44"/>
          <w:highlight w:val="none"/>
        </w:rPr>
        <w:t>询问函范本</w:t>
      </w:r>
      <w:bookmarkEnd w:id="209"/>
      <w:bookmarkEnd w:id="210"/>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1" w:name="_Toc13899"/>
      <w:r>
        <w:rPr>
          <w:rFonts w:hint="eastAsia" w:ascii="宋体" w:hAnsi="宋体" w:eastAsia="宋体" w:cs="仿宋"/>
          <w:color w:val="auto"/>
          <w:sz w:val="24"/>
          <w:szCs w:val="24"/>
          <w:highlight w:val="none"/>
        </w:rPr>
        <w:t>一、(事项一)</w:t>
      </w:r>
      <w:bookmarkEnd w:id="211"/>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2" w:name="_Toc3352"/>
      <w:r>
        <w:rPr>
          <w:rFonts w:hint="eastAsia" w:ascii="宋体" w:hAnsi="宋体" w:eastAsia="宋体" w:cs="仿宋"/>
          <w:color w:val="auto"/>
          <w:sz w:val="24"/>
          <w:szCs w:val="24"/>
          <w:highlight w:val="none"/>
        </w:rPr>
        <w:t>二、(事项二)</w:t>
      </w:r>
      <w:bookmarkEnd w:id="212"/>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213" w:name="_Toc3245"/>
      <w:bookmarkStart w:id="214" w:name="_Toc1575"/>
      <w:r>
        <w:rPr>
          <w:rFonts w:hint="eastAsia" w:ascii="仿宋" w:hAnsi="仿宋" w:eastAsia="仿宋" w:cs="仿宋"/>
          <w:b/>
          <w:bCs/>
          <w:color w:val="auto"/>
          <w:sz w:val="32"/>
          <w:szCs w:val="44"/>
          <w:highlight w:val="none"/>
        </w:rPr>
        <w:t>质疑函范本</w:t>
      </w:r>
      <w:bookmarkEnd w:id="213"/>
      <w:bookmarkEnd w:id="214"/>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5" w:name="_Toc21381"/>
      <w:r>
        <w:rPr>
          <w:rFonts w:hint="eastAsia" w:ascii="宋体" w:hAnsi="宋体" w:eastAsia="宋体" w:cs="仿宋"/>
          <w:b/>
          <w:bCs/>
          <w:color w:val="auto"/>
          <w:sz w:val="24"/>
          <w:szCs w:val="24"/>
          <w:highlight w:val="none"/>
        </w:rPr>
        <w:t>一、质疑供应商基本信息</w:t>
      </w:r>
      <w:bookmarkEnd w:id="215"/>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216" w:name="_Toc28415"/>
      <w:r>
        <w:rPr>
          <w:rFonts w:hint="eastAsia" w:ascii="宋体" w:hAnsi="宋体" w:eastAsia="宋体" w:cs="仿宋"/>
          <w:b/>
          <w:bCs/>
          <w:color w:val="auto"/>
          <w:sz w:val="24"/>
          <w:szCs w:val="24"/>
          <w:highlight w:val="none"/>
        </w:rPr>
        <w:t>二、质疑项目基本情况</w:t>
      </w:r>
      <w:bookmarkEnd w:id="216"/>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217" w:name="_Toc19014"/>
      <w:r>
        <w:rPr>
          <w:rFonts w:hint="eastAsia" w:ascii="宋体" w:hAnsi="宋体" w:eastAsia="宋体" w:cs="仿宋"/>
          <w:b/>
          <w:bCs/>
          <w:color w:val="auto"/>
          <w:sz w:val="24"/>
          <w:szCs w:val="24"/>
          <w:highlight w:val="none"/>
        </w:rPr>
        <w:t>三、质疑事项具体内容</w:t>
      </w:r>
      <w:bookmarkEnd w:id="217"/>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218" w:name="_Toc17919"/>
      <w:r>
        <w:rPr>
          <w:rFonts w:hint="eastAsia" w:ascii="宋体" w:hAnsi="宋体" w:eastAsia="宋体" w:cs="仿宋"/>
          <w:b/>
          <w:bCs/>
          <w:color w:val="auto"/>
          <w:sz w:val="24"/>
          <w:szCs w:val="24"/>
          <w:highlight w:val="none"/>
        </w:rPr>
        <w:t>四、与质疑事项相关的质疑请求</w:t>
      </w:r>
      <w:bookmarkEnd w:id="218"/>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219" w:name="_Toc26836"/>
      <w:bookmarkStart w:id="220" w:name="_Toc9754"/>
      <w:r>
        <w:rPr>
          <w:rFonts w:hint="eastAsia" w:ascii="宋体" w:hAnsi="宋体" w:eastAsia="宋体"/>
          <w:b/>
          <w:color w:val="auto"/>
          <w:sz w:val="28"/>
          <w:szCs w:val="32"/>
          <w:highlight w:val="none"/>
        </w:rPr>
        <w:t>质疑函制作说明：</w:t>
      </w:r>
      <w:bookmarkEnd w:id="219"/>
      <w:bookmarkEnd w:id="220"/>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2B0C90-5D34-448A-94C8-CFA38523B570}"/>
  </w:font>
  <w:font w:name="Arial">
    <w:panose1 w:val="020B0604020202020204"/>
    <w:charset w:val="01"/>
    <w:family w:val="swiss"/>
    <w:pitch w:val="default"/>
    <w:sig w:usb0="E0002EFF" w:usb1="C000785B" w:usb2="00000009" w:usb3="00000000" w:csb0="400001FF" w:csb1="FFFF0000"/>
    <w:embedRegular r:id="rId2" w:fontKey="{D73C385F-4852-4FFA-9E41-CAB489138F4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CA34B1E6-A565-454D-A897-0FA79C4D4694}"/>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53194D4E-D2F4-4969-A7C2-717D1598369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5" w:fontKey="{DEF85647-0F82-4A8A-BB95-E2593964ACCA}"/>
  </w:font>
  <w:font w:name="仿宋">
    <w:panose1 w:val="02010609060101010101"/>
    <w:charset w:val="86"/>
    <w:family w:val="modern"/>
    <w:pitch w:val="default"/>
    <w:sig w:usb0="800002BF" w:usb1="38CF7CFA" w:usb2="00000016" w:usb3="00000000" w:csb0="00040001" w:csb1="00000000"/>
    <w:embedRegular r:id="rId6" w:fontKey="{D22B23B1-0B80-49FE-929F-BF24D6E60536}"/>
  </w:font>
  <w:font w:name="仿宋_GB2312">
    <w:altName w:val="仿宋"/>
    <w:panose1 w:val="02010609030101010101"/>
    <w:charset w:val="86"/>
    <w:family w:val="modern"/>
    <w:pitch w:val="default"/>
    <w:sig w:usb0="00000000" w:usb1="00000000" w:usb2="00000000" w:usb3="00000000" w:csb0="00040000" w:csb1="00000000"/>
    <w:embedRegular r:id="rId7" w:fontKey="{5A95E39B-529C-4D2A-9A52-ECB7DFEC24D4}"/>
  </w:font>
  <w:font w:name="WPSEMBED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0C9A">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A0C9A">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BA1A55"/>
    <w:rsid w:val="00DE5743"/>
    <w:rsid w:val="00EF16FF"/>
    <w:rsid w:val="01017684"/>
    <w:rsid w:val="013730A5"/>
    <w:rsid w:val="01457570"/>
    <w:rsid w:val="017D4F5C"/>
    <w:rsid w:val="0180098F"/>
    <w:rsid w:val="019D4DF2"/>
    <w:rsid w:val="01AA3877"/>
    <w:rsid w:val="01B3556A"/>
    <w:rsid w:val="01B83CAA"/>
    <w:rsid w:val="01E25ABE"/>
    <w:rsid w:val="01E730A7"/>
    <w:rsid w:val="01E925F2"/>
    <w:rsid w:val="01F1594A"/>
    <w:rsid w:val="02144BFA"/>
    <w:rsid w:val="02404E4B"/>
    <w:rsid w:val="025E7D96"/>
    <w:rsid w:val="02686F3C"/>
    <w:rsid w:val="02950FA1"/>
    <w:rsid w:val="029640FE"/>
    <w:rsid w:val="02AF74E7"/>
    <w:rsid w:val="02BF15A4"/>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41FF7"/>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4F204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01AF8"/>
    <w:rsid w:val="10B4760D"/>
    <w:rsid w:val="10B71B0D"/>
    <w:rsid w:val="10BB33AB"/>
    <w:rsid w:val="10C0771D"/>
    <w:rsid w:val="10D51608"/>
    <w:rsid w:val="10E6007E"/>
    <w:rsid w:val="10FA5A47"/>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3ED62E1"/>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364E8A"/>
    <w:rsid w:val="155A67CD"/>
    <w:rsid w:val="156D6C3E"/>
    <w:rsid w:val="158E72E0"/>
    <w:rsid w:val="15AE34DE"/>
    <w:rsid w:val="15DB51D8"/>
    <w:rsid w:val="15EC4007"/>
    <w:rsid w:val="1602382A"/>
    <w:rsid w:val="160C28FB"/>
    <w:rsid w:val="161146EA"/>
    <w:rsid w:val="162A1B44"/>
    <w:rsid w:val="162E2871"/>
    <w:rsid w:val="16685D83"/>
    <w:rsid w:val="1672275E"/>
    <w:rsid w:val="16BC1C2B"/>
    <w:rsid w:val="17285513"/>
    <w:rsid w:val="172B6DB1"/>
    <w:rsid w:val="17371C20"/>
    <w:rsid w:val="17435EA8"/>
    <w:rsid w:val="17471E3D"/>
    <w:rsid w:val="174E359A"/>
    <w:rsid w:val="177B05E0"/>
    <w:rsid w:val="177C760C"/>
    <w:rsid w:val="178564C1"/>
    <w:rsid w:val="17B2302E"/>
    <w:rsid w:val="17B80644"/>
    <w:rsid w:val="17C70888"/>
    <w:rsid w:val="17E4768B"/>
    <w:rsid w:val="18057453"/>
    <w:rsid w:val="180970F2"/>
    <w:rsid w:val="18506ACF"/>
    <w:rsid w:val="185B5474"/>
    <w:rsid w:val="186D58D3"/>
    <w:rsid w:val="18737847"/>
    <w:rsid w:val="18814EDA"/>
    <w:rsid w:val="189C5D78"/>
    <w:rsid w:val="189E6C73"/>
    <w:rsid w:val="18D07033"/>
    <w:rsid w:val="18D524FF"/>
    <w:rsid w:val="18D71994"/>
    <w:rsid w:val="18DA7278"/>
    <w:rsid w:val="18E46922"/>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AA4A5F"/>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0F70991"/>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B7103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29673B"/>
    <w:rsid w:val="27AB1F74"/>
    <w:rsid w:val="27E601D4"/>
    <w:rsid w:val="27FF4722"/>
    <w:rsid w:val="280A6664"/>
    <w:rsid w:val="281713B7"/>
    <w:rsid w:val="284D302B"/>
    <w:rsid w:val="2869172C"/>
    <w:rsid w:val="2883374E"/>
    <w:rsid w:val="288E0F4E"/>
    <w:rsid w:val="289E73E3"/>
    <w:rsid w:val="28BB5EEC"/>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109EC"/>
    <w:rsid w:val="2C894F11"/>
    <w:rsid w:val="2CA451E4"/>
    <w:rsid w:val="2CB74F17"/>
    <w:rsid w:val="2CBC3334"/>
    <w:rsid w:val="2CC3046D"/>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4D42E43"/>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47471C"/>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9E0EA9"/>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8575C0"/>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316BA3"/>
    <w:rsid w:val="43655275"/>
    <w:rsid w:val="43727992"/>
    <w:rsid w:val="43741BE7"/>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527D1D"/>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64E79"/>
    <w:rsid w:val="4A162E25"/>
    <w:rsid w:val="4A2D7CA7"/>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EA1220"/>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80A47"/>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77AB0"/>
    <w:rsid w:val="54192CA4"/>
    <w:rsid w:val="545B7804"/>
    <w:rsid w:val="54857525"/>
    <w:rsid w:val="54AC42B1"/>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DF6E07"/>
    <w:rsid w:val="5DFB5069"/>
    <w:rsid w:val="5E08087F"/>
    <w:rsid w:val="5E091947"/>
    <w:rsid w:val="5E203E1A"/>
    <w:rsid w:val="5EA51973"/>
    <w:rsid w:val="5ED30E8D"/>
    <w:rsid w:val="5EF9755F"/>
    <w:rsid w:val="5F1115F5"/>
    <w:rsid w:val="5F6B7A70"/>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217784"/>
    <w:rsid w:val="615362B5"/>
    <w:rsid w:val="617A5F38"/>
    <w:rsid w:val="6189617B"/>
    <w:rsid w:val="61B51583"/>
    <w:rsid w:val="61D46475"/>
    <w:rsid w:val="61E84BD9"/>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8924A6"/>
    <w:rsid w:val="689C49E5"/>
    <w:rsid w:val="68A839F1"/>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E82164"/>
    <w:rsid w:val="6AF74155"/>
    <w:rsid w:val="6B0B3CD4"/>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427A1"/>
    <w:rsid w:val="6DDF5B5A"/>
    <w:rsid w:val="6E565636"/>
    <w:rsid w:val="6EA6036C"/>
    <w:rsid w:val="6EA86918"/>
    <w:rsid w:val="6EAA6BF7"/>
    <w:rsid w:val="6EB03039"/>
    <w:rsid w:val="6EB44436"/>
    <w:rsid w:val="6EDC49F8"/>
    <w:rsid w:val="6EE175F6"/>
    <w:rsid w:val="6EE3336E"/>
    <w:rsid w:val="6F0155A2"/>
    <w:rsid w:val="6F157D87"/>
    <w:rsid w:val="6F35524C"/>
    <w:rsid w:val="6F484D95"/>
    <w:rsid w:val="6F607BC9"/>
    <w:rsid w:val="6F6607E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6D5581"/>
    <w:rsid w:val="72C74D55"/>
    <w:rsid w:val="72D1172F"/>
    <w:rsid w:val="72D66D46"/>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0373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20ADD"/>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AEB249D"/>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0E42E0"/>
    <w:rsid w:val="7F1E5CFC"/>
    <w:rsid w:val="7F203823"/>
    <w:rsid w:val="7F315A30"/>
    <w:rsid w:val="7F4B1427"/>
    <w:rsid w:val="7F7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1411</Words>
  <Characters>1534</Characters>
  <Lines>1</Lines>
  <Paragraphs>1</Paragraphs>
  <TotalTime>7</TotalTime>
  <ScaleCrop>false</ScaleCrop>
  <LinksUpToDate>false</LinksUpToDate>
  <CharactersWithSpaces>1628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2026-05-19T02:56:48Z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