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滁州市第一人民医院物理降温仪采购项目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CZYY-2026-46</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_Toc29510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_Toc29510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0B494D3D">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_Toc31732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_Toc31732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4"/>
          <w:highlight w:val="none"/>
        </w:rPr>
        <w:fldChar w:fldCharType="end"/>
      </w:r>
    </w:p>
    <w:p w14:paraId="3983FEE5">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_Toc11431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_Toc11431 \h </w:instrText>
      </w:r>
      <w:r>
        <w:rPr>
          <w:color w:val="auto"/>
          <w:highlight w:val="none"/>
        </w:rPr>
        <w:fldChar w:fldCharType="separate"/>
      </w:r>
      <w:r>
        <w:rPr>
          <w:color w:val="auto"/>
          <w:highlight w:val="none"/>
        </w:rPr>
        <w:t>16</w:t>
      </w:r>
      <w:r>
        <w:rPr>
          <w:color w:val="auto"/>
          <w:highlight w:val="none"/>
        </w:rPr>
        <w:fldChar w:fldCharType="end"/>
      </w:r>
      <w:r>
        <w:rPr>
          <w:rFonts w:asciiTheme="minorEastAsia" w:hAnsiTheme="minorEastAsia" w:eastAsiaTheme="minorEastAsia"/>
          <w:color w:val="auto"/>
          <w:szCs w:val="24"/>
          <w:highlight w:val="none"/>
        </w:rPr>
        <w:fldChar w:fldCharType="end"/>
      </w:r>
    </w:p>
    <w:p w14:paraId="545285BD">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_Toc22859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_Toc22859 \h </w:instrText>
      </w:r>
      <w:r>
        <w:rPr>
          <w:color w:val="auto"/>
          <w:highlight w:val="none"/>
        </w:rPr>
        <w:fldChar w:fldCharType="separate"/>
      </w:r>
      <w:r>
        <w:rPr>
          <w:color w:val="auto"/>
          <w:highlight w:val="none"/>
        </w:rPr>
        <w:t>18</w:t>
      </w:r>
      <w:r>
        <w:rPr>
          <w:color w:val="auto"/>
          <w:highlight w:val="none"/>
        </w:rPr>
        <w:fldChar w:fldCharType="end"/>
      </w:r>
      <w:r>
        <w:rPr>
          <w:rFonts w:asciiTheme="minorEastAsia" w:hAnsiTheme="minorEastAsia" w:eastAsiaTheme="minorEastAsia"/>
          <w:color w:val="auto"/>
          <w:szCs w:val="24"/>
          <w:highlight w:val="none"/>
        </w:rPr>
        <w:fldChar w:fldCharType="end"/>
      </w:r>
    </w:p>
    <w:p w14:paraId="6980CF28">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_Toc31314 </w:instrText>
      </w:r>
      <w:r>
        <w:rPr>
          <w:rFonts w:asciiTheme="minorEastAsia" w:hAnsiTheme="minorEastAsia" w:eastAsiaTheme="minorEastAsia"/>
          <w:color w:val="auto"/>
          <w:szCs w:val="24"/>
          <w:highlight w:val="none"/>
        </w:rPr>
        <w:fldChar w:fldCharType="separate"/>
      </w:r>
      <w:r>
        <w:rPr>
          <w:rFonts w:hint="eastAsia" w:cs="@仿宋_GB2312" w:asciiTheme="minorEastAsia" w:hAnsiTheme="minorEastAsia" w:eastAsiaTheme="minorEastAsia"/>
          <w:color w:val="auto"/>
          <w:kern w:val="2"/>
          <w:highlight w:val="none"/>
          <w:lang w:val="en-US" w:eastAsia="zh-CN" w:bidi="ar-SA"/>
        </w:rPr>
        <w:t>第五章</w:t>
      </w:r>
      <w:r>
        <w:rPr>
          <w:rFonts w:hint="eastAsia" w:cs="@仿宋_GB2312" w:asciiTheme="minorEastAsia" w:hAnsiTheme="minorEastAsia"/>
          <w:color w:val="auto"/>
          <w:kern w:val="2"/>
          <w:highlight w:val="none"/>
          <w:lang w:val="en-US" w:eastAsia="zh-CN" w:bidi="ar-SA"/>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_Toc31314 \h </w:instrText>
      </w:r>
      <w:r>
        <w:rPr>
          <w:color w:val="auto"/>
          <w:highlight w:val="none"/>
        </w:rPr>
        <w:fldChar w:fldCharType="separate"/>
      </w:r>
      <w:r>
        <w:rPr>
          <w:color w:val="auto"/>
          <w:highlight w:val="none"/>
        </w:rPr>
        <w:t>23</w:t>
      </w:r>
      <w:r>
        <w:rPr>
          <w:color w:val="auto"/>
          <w:highlight w:val="none"/>
        </w:rPr>
        <w:fldChar w:fldCharType="end"/>
      </w:r>
      <w:r>
        <w:rPr>
          <w:rFonts w:asciiTheme="minorEastAsia" w:hAnsiTheme="minorEastAsia" w:eastAsiaTheme="minorEastAsia"/>
          <w:color w:val="auto"/>
          <w:szCs w:val="24"/>
          <w:highlight w:val="none"/>
        </w:rPr>
        <w:fldChar w:fldCharType="end"/>
      </w:r>
    </w:p>
    <w:p w14:paraId="04C0E563">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_Toc14549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_Toc14549 \h </w:instrText>
      </w:r>
      <w:r>
        <w:rPr>
          <w:color w:val="auto"/>
          <w:highlight w:val="none"/>
        </w:rPr>
        <w:fldChar w:fldCharType="separate"/>
      </w:r>
      <w:r>
        <w:rPr>
          <w:color w:val="auto"/>
          <w:highlight w:val="none"/>
        </w:rPr>
        <w:t>39</w:t>
      </w:r>
      <w:r>
        <w:rPr>
          <w:color w:val="auto"/>
          <w:highlight w:val="none"/>
        </w:rPr>
        <w:fldChar w:fldCharType="end"/>
      </w:r>
      <w:r>
        <w:rPr>
          <w:rFonts w:asciiTheme="minorEastAsia" w:hAnsiTheme="minorEastAsia" w:eastAsiaTheme="minorEastAsia"/>
          <w:color w:val="auto"/>
          <w:szCs w:val="24"/>
          <w:highlight w:val="none"/>
        </w:rPr>
        <w:fldChar w:fldCharType="end"/>
      </w:r>
    </w:p>
    <w:p w14:paraId="6F410266">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_Toc5430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_Toc5430 \h </w:instrText>
      </w:r>
      <w:r>
        <w:rPr>
          <w:color w:val="auto"/>
          <w:highlight w:val="none"/>
        </w:rPr>
        <w:fldChar w:fldCharType="separate"/>
      </w:r>
      <w:r>
        <w:rPr>
          <w:color w:val="auto"/>
          <w:highlight w:val="none"/>
        </w:rPr>
        <w:t>50</w:t>
      </w:r>
      <w:r>
        <w:rPr>
          <w:color w:val="auto"/>
          <w:highlight w:val="none"/>
        </w:rPr>
        <w:fldChar w:fldCharType="end"/>
      </w:r>
      <w:r>
        <w:rPr>
          <w:rFonts w:asciiTheme="minorEastAsia" w:hAnsiTheme="minorEastAsia" w:eastAsiaTheme="minorEastAsia"/>
          <w:color w:val="auto"/>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滁州市第一人民医院物理降温仪采购项目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7日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28359079"/>
      <w:bookmarkEnd w:id="3"/>
      <w:bookmarkStart w:id="4" w:name="_Toc58430305"/>
      <w:bookmarkEnd w:id="4"/>
      <w:bookmarkStart w:id="5" w:name="_Toc28359002"/>
      <w:bookmarkEnd w:id="5"/>
      <w:bookmarkStart w:id="6" w:name="_Toc35393621"/>
      <w:bookmarkEnd w:id="6"/>
      <w:bookmarkStart w:id="7" w:name="_Toc35393790"/>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CZYY-2026-46</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项目名称：滁州市第一人民医院物理降温仪采购项目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预算金额：4.8万元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最高限价：4.8万元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物理降温仪。</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58430306"/>
      <w:bookmarkEnd w:id="9"/>
      <w:bookmarkStart w:id="10" w:name="_Toc28359003"/>
      <w:bookmarkEnd w:id="10"/>
      <w:bookmarkStart w:id="11" w:name="_Toc35393622"/>
      <w:bookmarkEnd w:id="11"/>
      <w:bookmarkStart w:id="12" w:name="_Toc35393791"/>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2773EC04">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lang w:bidi="ar"/>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u w:val="single"/>
          <w:lang w:bidi="ar"/>
        </w:rPr>
        <w:t>投标产品须具备有效的医疗器械注册证(或备案凭证)。</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30日</w:t>
      </w:r>
      <w:bookmarkStart w:id="115" w:name="_GoBack"/>
      <w:bookmarkEnd w:id="115"/>
      <w:r>
        <w:rPr>
          <w:rFonts w:hint="eastAsia" w:ascii="宋体" w:hAnsi="宋体" w:eastAsia="宋体" w:cs="宋体"/>
          <w:color w:val="auto"/>
          <w:sz w:val="24"/>
          <w:szCs w:val="24"/>
          <w:highlight w:val="none"/>
          <w:u w:val="single"/>
          <w:lang w:bidi="ar"/>
        </w:rPr>
        <w:t>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7日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35393624"/>
      <w:bookmarkEnd w:id="18"/>
      <w:bookmarkStart w:id="19" w:name="_Toc28359082"/>
      <w:bookmarkEnd w:id="19"/>
      <w:bookmarkStart w:id="20" w:name="_Toc28359005"/>
      <w:bookmarkEnd w:id="20"/>
      <w:bookmarkStart w:id="21" w:name="_Toc35393793"/>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7日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28359007"/>
      <w:bookmarkEnd w:id="23"/>
      <w:bookmarkStart w:id="24" w:name="_Toc35393625"/>
      <w:bookmarkEnd w:id="24"/>
      <w:bookmarkStart w:id="25" w:name="_Toc35393794"/>
      <w:bookmarkEnd w:id="25"/>
      <w:bookmarkStart w:id="26" w:name="_Toc58430309"/>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9"/>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6日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7日15时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7日15时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750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32151"/>
      <w:bookmarkStart w:id="45" w:name="_Toc2554"/>
      <w:r>
        <w:rPr>
          <w:rFonts w:hint="eastAsia" w:ascii="宋体" w:hAnsi="宋体" w:eastAsia="宋体"/>
          <w:b/>
          <w:color w:val="auto"/>
          <w:sz w:val="24"/>
          <w:szCs w:val="18"/>
          <w:highlight w:val="none"/>
        </w:rPr>
        <w:t>一、采购需求前附表</w:t>
      </w:r>
      <w:bookmarkEnd w:id="44"/>
      <w:bookmarkEnd w:id="45"/>
    </w:p>
    <w:tbl>
      <w:tblPr>
        <w:tblStyle w:val="2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2B2AD25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合同签订，货物到场后付至合同价款的40%，安装调试并正常使用后付至合同价款的90%，货物经采购人验收合格后付至合同价款的100%。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不少于叁年</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7ABEDDE1">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采购项目需求概况</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设备能快速、安全地为儿科发热患者实施物理降温，有效控制高热、预防惊厥并提升护理效率。</w:t>
      </w:r>
    </w:p>
    <w:p w14:paraId="363C7543">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default"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2.产品需严格遵循 YY/T 0952-2022《医用控温仪》、GB 9706.1-2020《医用电气设备 第 1 部分：基本安全和基本性能的通用要求》、YY 9706.102-2021《医用电气设备 第 1-2 部分：电磁兼容 要求和试验》 强制要求，各项性能、安全指标均满足国标及行业标准。</w:t>
      </w:r>
    </w:p>
    <w:bookmarkEnd w:id="46"/>
    <w:bookmarkEnd w:id="47"/>
    <w:tbl>
      <w:tblPr>
        <w:tblStyle w:val="27"/>
        <w:tblW w:w="6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86"/>
        <w:gridCol w:w="7191"/>
        <w:gridCol w:w="700"/>
        <w:gridCol w:w="806"/>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45"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0"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492"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40"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91"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45" w:type="pct"/>
            <w:vMerge w:val="restar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30" w:type="pct"/>
            <w:vMerge w:val="restart"/>
            <w:vAlign w:val="center"/>
          </w:tcPr>
          <w:p w14:paraId="0AE98058">
            <w:pPr>
              <w:spacing w:line="360" w:lineRule="exact"/>
              <w:jc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4"/>
                <w:szCs w:val="24"/>
                <w:highlight w:val="none"/>
                <w:lang w:val="en-US" w:eastAsia="zh-CN"/>
              </w:rPr>
              <w:t>物理降温仪</w:t>
            </w:r>
          </w:p>
        </w:tc>
        <w:tc>
          <w:tcPr>
            <w:tcW w:w="3492" w:type="pct"/>
            <w:vAlign w:val="center"/>
          </w:tcPr>
          <w:p w14:paraId="081A7C9D">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1.电器安全类型Ⅰ类  </w:t>
            </w:r>
            <w:r>
              <w:rPr>
                <w:rFonts w:hint="eastAsia" w:ascii="宋体" w:hAnsi="宋体" w:eastAsia="宋体" w:cs="宋体"/>
                <w:b w:val="0"/>
                <w:bCs w:val="0"/>
                <w:color w:val="auto"/>
                <w:sz w:val="24"/>
                <w:szCs w:val="24"/>
                <w:highlight w:val="none"/>
              </w:rPr>
              <w:t>应用部分BF型</w:t>
            </w:r>
          </w:p>
          <w:p w14:paraId="1799CF2C">
            <w:pPr>
              <w:spacing w:line="36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额定输入功率≤6</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0VA</w:t>
            </w:r>
          </w:p>
          <w:p w14:paraId="6D557229">
            <w:pPr>
              <w:spacing w:line="36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降温毯/帽</w:t>
            </w:r>
            <w:r>
              <w:rPr>
                <w:rFonts w:hint="eastAsia" w:ascii="宋体" w:hAnsi="宋体" w:eastAsia="宋体" w:cs="宋体"/>
                <w:b w:val="0"/>
                <w:bCs w:val="0"/>
                <w:color w:val="auto"/>
                <w:sz w:val="24"/>
                <w:szCs w:val="24"/>
                <w:highlight w:val="none"/>
                <w:lang w:val="en-US" w:eastAsia="zh-CN"/>
              </w:rPr>
              <w:t>/腋下降温球囊</w:t>
            </w:r>
            <w:r>
              <w:rPr>
                <w:rFonts w:hint="eastAsia" w:ascii="宋体" w:hAnsi="宋体" w:eastAsia="宋体" w:cs="宋体"/>
                <w:b w:val="0"/>
                <w:bCs w:val="0"/>
                <w:color w:val="auto"/>
                <w:sz w:val="24"/>
                <w:szCs w:val="24"/>
                <w:highlight w:val="none"/>
              </w:rPr>
              <w:t>材料：TPU材质，可折叠、卷曲、消毒，可反复多次使用</w:t>
            </w:r>
          </w:p>
          <w:p w14:paraId="35F55ECE">
            <w:pPr>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接口</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rPr>
              <w:t>快速插拔自锁接口，双通道设计，</w:t>
            </w:r>
            <w:r>
              <w:rPr>
                <w:rFonts w:hint="eastAsia" w:ascii="宋体" w:hAnsi="宋体" w:eastAsia="宋体" w:cs="宋体"/>
                <w:b w:val="0"/>
                <w:bCs w:val="0"/>
                <w:color w:val="auto"/>
                <w:sz w:val="24"/>
                <w:szCs w:val="24"/>
                <w:highlight w:val="none"/>
                <w:lang w:val="en-US" w:eastAsia="zh-CN"/>
              </w:rPr>
              <w:t>降温配件</w:t>
            </w:r>
            <w:r>
              <w:rPr>
                <w:rFonts w:hint="eastAsia" w:ascii="宋体" w:hAnsi="宋体" w:eastAsia="宋体" w:cs="宋体"/>
                <w:b w:val="0"/>
                <w:bCs w:val="0"/>
                <w:color w:val="auto"/>
                <w:sz w:val="24"/>
                <w:szCs w:val="24"/>
                <w:highlight w:val="none"/>
              </w:rPr>
              <w:t>可独立</w:t>
            </w:r>
            <w:r>
              <w:rPr>
                <w:rFonts w:hint="eastAsia" w:ascii="宋体" w:hAnsi="宋体" w:eastAsia="宋体" w:cs="宋体"/>
                <w:b w:val="0"/>
                <w:bCs w:val="0"/>
                <w:color w:val="auto"/>
                <w:sz w:val="24"/>
                <w:szCs w:val="24"/>
                <w:highlight w:val="none"/>
                <w:lang w:val="en-US" w:eastAsia="zh-CN"/>
              </w:rPr>
              <w:t>使用也可</w:t>
            </w:r>
            <w:r>
              <w:rPr>
                <w:rFonts w:hint="eastAsia" w:ascii="宋体" w:hAnsi="宋体" w:eastAsia="宋体" w:cs="宋体"/>
                <w:b w:val="0"/>
                <w:bCs w:val="0"/>
                <w:color w:val="auto"/>
                <w:sz w:val="24"/>
                <w:szCs w:val="24"/>
                <w:highlight w:val="none"/>
              </w:rPr>
              <w:t>同步使用</w:t>
            </w:r>
          </w:p>
          <w:p w14:paraId="6E431E79">
            <w:pPr>
              <w:spacing w:line="36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报警功能：具备缺水自动报警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传感器脱落报警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传感器断路、短路报警；体温超温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过低报警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系统故障声光报警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降温报警</w:t>
            </w:r>
            <w:r>
              <w:rPr>
                <w:rFonts w:hint="eastAsia" w:ascii="宋体" w:hAnsi="宋体" w:eastAsia="宋体" w:cs="宋体"/>
                <w:b w:val="0"/>
                <w:bCs w:val="0"/>
                <w:color w:val="auto"/>
                <w:sz w:val="24"/>
                <w:szCs w:val="24"/>
                <w:highlight w:val="none"/>
                <w:lang w:val="en-US" w:eastAsia="zh-CN"/>
              </w:rPr>
              <w:t>单次</w:t>
            </w:r>
            <w:r>
              <w:rPr>
                <w:rFonts w:hint="eastAsia" w:ascii="宋体" w:hAnsi="宋体" w:eastAsia="宋体" w:cs="宋体"/>
                <w:b w:val="0"/>
                <w:bCs w:val="0"/>
                <w:color w:val="auto"/>
                <w:sz w:val="24"/>
                <w:szCs w:val="24"/>
                <w:highlight w:val="none"/>
              </w:rPr>
              <w:t>暂停≤4h</w:t>
            </w:r>
          </w:p>
          <w:p w14:paraId="4951484D">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6.体温传感器监测范围包含28℃～43℃，</w:t>
            </w:r>
            <w:r>
              <w:rPr>
                <w:rFonts w:hint="eastAsia" w:ascii="宋体" w:hAnsi="宋体" w:eastAsia="宋体" w:cs="宋体"/>
                <w:b w:val="0"/>
                <w:bCs w:val="0"/>
                <w:color w:val="auto"/>
                <w:sz w:val="24"/>
                <w:szCs w:val="24"/>
                <w:highlight w:val="none"/>
              </w:rPr>
              <w:t>显示更新≤10s；</w:t>
            </w:r>
          </w:p>
          <w:p w14:paraId="647C61FC">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7.制冷体温控制范围</w:t>
            </w:r>
            <w:r>
              <w:rPr>
                <w:rFonts w:hint="eastAsia" w:ascii="宋体" w:hAnsi="宋体" w:eastAsia="宋体" w:cs="宋体"/>
                <w:b w:val="0"/>
                <w:bCs w:val="0"/>
                <w:color w:val="auto"/>
                <w:sz w:val="24"/>
                <w:szCs w:val="24"/>
                <w:highlight w:val="none"/>
                <w:lang w:eastAsia="zh-CN"/>
              </w:rPr>
              <w:t>30℃～40℃，步进0.1℃，控温精度±0.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p>
          <w:p w14:paraId="187A7D61">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8.水温传感器监测范围包含0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50°C，</w:t>
            </w:r>
            <w:r>
              <w:rPr>
                <w:rFonts w:hint="eastAsia" w:ascii="宋体" w:hAnsi="宋体" w:eastAsia="宋体" w:cs="宋体"/>
                <w:b w:val="0"/>
                <w:bCs w:val="0"/>
                <w:color w:val="auto"/>
                <w:sz w:val="24"/>
                <w:szCs w:val="24"/>
                <w:highlight w:val="none"/>
              </w:rPr>
              <w:t>异常声光提醒</w:t>
            </w:r>
          </w:p>
          <w:p w14:paraId="2A8F6715">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水温</w:t>
            </w:r>
            <w:r>
              <w:rPr>
                <w:rFonts w:hint="eastAsia" w:ascii="宋体" w:hAnsi="宋体" w:eastAsia="宋体" w:cs="宋体"/>
                <w:b w:val="0"/>
                <w:bCs w:val="0"/>
                <w:color w:val="auto"/>
                <w:sz w:val="24"/>
                <w:szCs w:val="24"/>
                <w:highlight w:val="none"/>
                <w:lang w:val="en-US" w:eastAsia="zh-CN"/>
              </w:rPr>
              <w:t>控制范围包含</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40℃</w:t>
            </w:r>
            <w:r>
              <w:rPr>
                <w:rFonts w:hint="eastAsia" w:ascii="宋体" w:hAnsi="宋体" w:eastAsia="宋体" w:cs="宋体"/>
                <w:b w:val="0"/>
                <w:bCs w:val="0"/>
                <w:color w:val="auto"/>
                <w:sz w:val="24"/>
                <w:szCs w:val="24"/>
                <w:highlight w:val="none"/>
                <w:lang w:val="en-US" w:eastAsia="zh-CN"/>
              </w:rPr>
              <w:t>.控温精度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p>
          <w:p w14:paraId="78758181">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10.噪声≤55dB(A)</w:t>
            </w:r>
          </w:p>
          <w:p w14:paraId="367071DE">
            <w:pPr>
              <w:spacing w:line="36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11.降温速度：每分钟</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 xml:space="preserve">1℃ </w:t>
            </w:r>
          </w:p>
          <w:p w14:paraId="37E28F6E">
            <w:pPr>
              <w:spacing w:line="36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12.采用彩色触摸屏。全中文显示体温、水温、设定值、状态、报警信息</w:t>
            </w:r>
          </w:p>
        </w:tc>
        <w:tc>
          <w:tcPr>
            <w:tcW w:w="340" w:type="pct"/>
            <w:vMerge w:val="restar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391" w:type="pct"/>
            <w:vMerge w:val="restar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659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345" w:type="pct"/>
            <w:vMerge w:val="continue"/>
            <w:vAlign w:val="center"/>
          </w:tcPr>
          <w:p w14:paraId="0A072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c>
          <w:tcPr>
            <w:tcW w:w="430" w:type="pct"/>
            <w:vMerge w:val="continue"/>
            <w:vAlign w:val="center"/>
          </w:tcPr>
          <w:p w14:paraId="1DAB8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i w:val="0"/>
                <w:iCs w:val="0"/>
                <w:color w:val="auto"/>
                <w:kern w:val="2"/>
                <w:sz w:val="22"/>
                <w:szCs w:val="22"/>
                <w:highlight w:val="none"/>
                <w:u w:val="none"/>
                <w:lang w:val="en-US" w:eastAsia="zh-CN" w:bidi="ar-SA"/>
              </w:rPr>
            </w:pPr>
          </w:p>
        </w:tc>
        <w:tc>
          <w:tcPr>
            <w:tcW w:w="3492" w:type="pct"/>
            <w:vAlign w:val="center"/>
          </w:tcPr>
          <w:p w14:paraId="7A4047CE">
            <w:pPr>
              <w:spacing w:line="360" w:lineRule="exac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配置要求（提供数量不低于以下配置，不响应的按无效标处理）：</w:t>
            </w:r>
          </w:p>
          <w:p w14:paraId="033BEB7F">
            <w:pPr>
              <w:numPr>
                <w:ilvl w:val="0"/>
                <w:numId w:val="0"/>
              </w:numPr>
              <w:spacing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降温仪主机1台；</w:t>
            </w:r>
          </w:p>
          <w:p w14:paraId="5B6685A1">
            <w:pPr>
              <w:numPr>
                <w:ilvl w:val="0"/>
                <w:numId w:val="0"/>
              </w:numPr>
              <w:spacing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rPr>
              <w:t>降温配件（二选一选配）：降温毯2套或腋下降温球囊4只，配套对应防水套4件；</w:t>
            </w:r>
          </w:p>
          <w:p w14:paraId="7E4A3C80">
            <w:pPr>
              <w:numPr>
                <w:ilvl w:val="0"/>
                <w:numId w:val="0"/>
              </w:numPr>
              <w:spacing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rPr>
              <w:t>降温帽2套，配套降温帽防水套4件；</w:t>
            </w:r>
          </w:p>
          <w:p w14:paraId="369C3B48">
            <w:pPr>
              <w:numPr>
                <w:ilvl w:val="0"/>
                <w:numId w:val="0"/>
              </w:numPr>
              <w:spacing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rPr>
              <w:t>医用温度传感器4套；</w:t>
            </w:r>
          </w:p>
          <w:p w14:paraId="35F86369">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rPr>
              <w:t>配置可移动底座</w:t>
            </w:r>
          </w:p>
        </w:tc>
        <w:tc>
          <w:tcPr>
            <w:tcW w:w="340" w:type="pct"/>
            <w:vMerge w:val="continue"/>
            <w:vAlign w:val="center"/>
          </w:tcPr>
          <w:p w14:paraId="3BDF3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c>
          <w:tcPr>
            <w:tcW w:w="391" w:type="pct"/>
            <w:vMerge w:val="continue"/>
            <w:vAlign w:val="center"/>
          </w:tcPr>
          <w:p w14:paraId="01D9E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bCs/>
                <w:color w:val="auto"/>
                <w:sz w:val="24"/>
                <w:szCs w:val="18"/>
                <w:highlight w:val="none"/>
                <w:lang w:val="en-US" w:eastAsia="zh-CN"/>
              </w:rPr>
            </w:pP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83EDEC6">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34AF0481">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u w:val="single"/>
                <w:lang w:bidi="ar"/>
              </w:rPr>
              <w:t>投标产品须具备有效的医疗器械注册证(或备案凭证)。</w:t>
            </w:r>
          </w:p>
        </w:tc>
        <w:tc>
          <w:tcPr>
            <w:tcW w:w="1029" w:type="pct"/>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75"/>
        <w:gridCol w:w="6733"/>
        <w:gridCol w:w="134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4"/>
                <w:highlight w:val="none"/>
              </w:rPr>
              <w:t>产品业绩</w:t>
            </w:r>
          </w:p>
        </w:tc>
        <w:tc>
          <w:tcPr>
            <w:tcW w:w="3301" w:type="pct"/>
            <w:tcBorders>
              <w:top w:val="single" w:color="auto" w:sz="4" w:space="0"/>
              <w:left w:val="single" w:color="auto" w:sz="4" w:space="0"/>
              <w:right w:val="single" w:color="auto" w:sz="4" w:space="0"/>
            </w:tcBorders>
            <w:vAlign w:val="center"/>
          </w:tcPr>
          <w:p w14:paraId="36257F42">
            <w:pPr>
              <w:spacing w:line="360" w:lineRule="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自2023 年1月1日以来(以合同签订时间为准)，投标人每提供一份所投降温仪业绩的，得2分，本条最高得4分。</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2"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5A70D19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根据投标文件中技术规格及参数要求的响应情况进行评审（分）:</w:t>
            </w:r>
          </w:p>
          <w:p w14:paraId="23DA456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本项目产品技术参数共12项，</w:t>
            </w:r>
          </w:p>
          <w:p w14:paraId="1F5590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①标注“▲”参数共2项，每有1项满足或优于招标要求的得6分，满分12分；</w:t>
            </w:r>
          </w:p>
          <w:p w14:paraId="79C1C2D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②未标注“★”和“▲”的参数共10项，每有1项满足或优于招标要求的得4分，满分40分；</w:t>
            </w:r>
          </w:p>
          <w:p w14:paraId="495F5F9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w:t>
            </w:r>
            <w:r>
              <w:rPr>
                <w:rFonts w:hint="eastAsia" w:ascii="宋体" w:hAnsi="宋体" w:eastAsia="宋体" w:cs="宋体"/>
                <w:color w:val="auto"/>
                <w:sz w:val="24"/>
                <w:szCs w:val="24"/>
                <w:highlight w:val="none"/>
                <w:lang w:val="en-US" w:eastAsia="zh-CN" w:bidi="zh-CN"/>
              </w:rPr>
              <w:fldChar w:fldCharType="begin"/>
            </w:r>
            <w:r>
              <w:rPr>
                <w:rFonts w:hint="eastAsia" w:ascii="宋体" w:hAnsi="宋体" w:eastAsia="宋体" w:cs="宋体"/>
                <w:color w:val="auto"/>
                <w:sz w:val="24"/>
                <w:szCs w:val="24"/>
                <w:highlight w:val="none"/>
                <w:lang w:val="en-US" w:eastAsia="zh-CN" w:bidi="zh-CN"/>
              </w:rPr>
              <w:instrText xml:space="preserve"> = 1 \* GB3 \* MERGEFORMAT </w:instrText>
            </w:r>
            <w:r>
              <w:rPr>
                <w:rFonts w:hint="eastAsia" w:ascii="宋体" w:hAnsi="宋体" w:eastAsia="宋体" w:cs="宋体"/>
                <w:color w:val="auto"/>
                <w:sz w:val="24"/>
                <w:szCs w:val="24"/>
                <w:highlight w:val="none"/>
                <w:lang w:val="en-US" w:eastAsia="zh-CN" w:bidi="zh-CN"/>
              </w:rPr>
              <w:fldChar w:fldCharType="separate"/>
            </w:r>
            <w:r>
              <w:rPr>
                <w:rFonts w:hint="eastAsia" w:ascii="宋体" w:hAnsi="宋体" w:eastAsia="宋体" w:cs="宋体"/>
                <w:color w:val="auto"/>
                <w:sz w:val="24"/>
                <w:szCs w:val="24"/>
                <w:highlight w:val="none"/>
                <w:lang w:val="en-US" w:eastAsia="zh-CN" w:bidi="zh-CN"/>
              </w:rPr>
              <w:t>①</w:t>
            </w:r>
            <w:r>
              <w:rPr>
                <w:rFonts w:hint="eastAsia" w:ascii="宋体" w:hAnsi="宋体" w:eastAsia="宋体" w:cs="宋体"/>
                <w:color w:val="auto"/>
                <w:sz w:val="24"/>
                <w:szCs w:val="24"/>
                <w:highlight w:val="none"/>
                <w:lang w:val="en-US" w:eastAsia="zh-CN" w:bidi="zh-CN"/>
              </w:rPr>
              <w:fldChar w:fldCharType="end"/>
            </w:r>
            <w:r>
              <w:rPr>
                <w:rFonts w:hint="eastAsia" w:ascii="宋体" w:hAnsi="宋体" w:eastAsia="宋体" w:cs="宋体"/>
                <w:b/>
                <w:bCs/>
                <w:color w:val="auto"/>
                <w:sz w:val="24"/>
                <w:szCs w:val="24"/>
                <w:highlight w:val="none"/>
                <w:lang w:val="en-US" w:eastAsia="zh-CN" w:bidi="zh-CN"/>
              </w:rPr>
              <w:t>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需提供证明材料之外的，其他则无需提供证明材料，但需明确是否响应，未明确是否响应视为不响应，投标人需审慎填写，验收时将复核参数。</w:t>
            </w:r>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default" w:ascii="宋体" w:hAnsi="宋体" w:eastAsia="宋体" w:cs="宋体"/>
                <w:b/>
                <w:bCs/>
                <w:color w:val="auto"/>
                <w:sz w:val="24"/>
                <w:szCs w:val="24"/>
                <w:highlight w:val="none"/>
                <w:lang w:val="en-US" w:eastAsia="zh-CN" w:bidi="zh-CN"/>
              </w:rPr>
              <w:t>②</w:t>
            </w:r>
            <w:r>
              <w:rPr>
                <w:rFonts w:hint="eastAsia" w:ascii="宋体" w:hAnsi="宋体" w:eastAsia="宋体" w:cs="宋体"/>
                <w:b/>
                <w:bCs/>
                <w:color w:val="auto"/>
                <w:sz w:val="24"/>
                <w:szCs w:val="24"/>
                <w:highlight w:val="none"/>
                <w:lang w:val="en-US" w:eastAsia="zh-CN" w:bidi="zh-CN"/>
              </w:rPr>
              <w:t>投标人提供的评审（评分）证明材料必须为中文文本，若存在非中文时，须同时提供中文翻译文本，否则视为不响应；</w:t>
            </w:r>
          </w:p>
        </w:tc>
        <w:tc>
          <w:tcPr>
            <w:tcW w:w="65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52分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shd w:val="clear" w:color="auto" w:fill="auto"/>
            <w:vAlign w:val="center"/>
          </w:tcPr>
          <w:p w14:paraId="72215C64">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6733" w:type="dxa"/>
            <w:tcBorders>
              <w:top w:val="single" w:color="auto" w:sz="4" w:space="0"/>
              <w:left w:val="single" w:color="auto" w:sz="4" w:space="0"/>
              <w:right w:val="single" w:color="auto" w:sz="4" w:space="0"/>
            </w:tcBorders>
            <w:shd w:val="clear" w:color="auto" w:fill="auto"/>
            <w:vAlign w:val="center"/>
          </w:tcPr>
          <w:p w14:paraId="5C171A0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投标人须提供免费质保承诺，免费质保期至少为叁年，满足要求的不得分。在叁年的基础上，承诺每延长1年加</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bidi="zh-CN"/>
              </w:rPr>
              <w:t>6</w:t>
            </w:r>
            <w:r>
              <w:rPr>
                <w:rFonts w:hint="eastAsia" w:ascii="宋体" w:hAnsi="宋体" w:eastAsia="宋体" w:cs="宋体"/>
                <w:color w:val="auto"/>
                <w:sz w:val="24"/>
                <w:szCs w:val="24"/>
                <w:highlight w:val="none"/>
                <w:lang w:bidi="zh-CN"/>
              </w:rPr>
              <w:t>分。</w:t>
            </w:r>
          </w:p>
          <w:p w14:paraId="31CCC3A7">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5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2"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vAlign w:val="center"/>
          </w:tcPr>
          <w:p w14:paraId="34FF3C79">
            <w:p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w:t>
            </w:r>
          </w:p>
        </w:tc>
        <w:tc>
          <w:tcPr>
            <w:tcW w:w="6733" w:type="dxa"/>
            <w:tcBorders>
              <w:top w:val="single" w:color="auto" w:sz="4" w:space="0"/>
              <w:left w:val="single" w:color="auto" w:sz="4" w:space="0"/>
              <w:right w:val="single" w:color="auto" w:sz="4" w:space="0"/>
            </w:tcBorders>
            <w:shd w:val="clear" w:color="auto" w:fill="auto"/>
            <w:vAlign w:val="center"/>
          </w:tcPr>
          <w:p w14:paraId="677C656B">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15D3DBD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报修后故障修复时间：3个工作日，超过此时间需提供备用机。</w:t>
            </w:r>
          </w:p>
          <w:p w14:paraId="1B4BE63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23D4E85C">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34ED896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1、包括保修内容与范围、维修响应时间、售后服务等，方案完善可行性强，科学合理，完全满足项目采购需求的得8分；</w:t>
            </w:r>
          </w:p>
          <w:p w14:paraId="090ABB8C">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bidi="zh-CN"/>
              </w:rPr>
              <w:t>6</w:t>
            </w:r>
            <w:r>
              <w:rPr>
                <w:rFonts w:hint="eastAsia" w:ascii="宋体" w:hAnsi="宋体" w:eastAsia="宋体" w:cs="宋体"/>
                <w:color w:val="auto"/>
                <w:sz w:val="24"/>
                <w:szCs w:val="24"/>
                <w:highlight w:val="none"/>
                <w:lang w:bidi="zh-CN"/>
              </w:rPr>
              <w:t>分；</w:t>
            </w:r>
          </w:p>
          <w:p w14:paraId="1EF3BC1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w:t>
            </w:r>
          </w:p>
          <w:p w14:paraId="2124B6D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bidi="zh-CN"/>
              </w:rPr>
              <w:t>4、方案不能满足项目实施要求或未提供相关内容的不得分</w:t>
            </w:r>
            <w:r>
              <w:rPr>
                <w:rFonts w:hint="eastAsia" w:ascii="宋体" w:hAnsi="宋体" w:eastAsia="宋体" w:cs="宋体"/>
                <w:color w:val="auto"/>
                <w:sz w:val="24"/>
                <w:szCs w:val="24"/>
                <w:highlight w:val="none"/>
                <w:lang w:val="en-US" w:bidi="zh-CN"/>
              </w:rPr>
              <w:t>。</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AFDF979">
            <w:pPr>
              <w:kinsoku w:val="0"/>
              <w:overflowPunct w:val="0"/>
              <w:autoSpaceDE w:val="0"/>
              <w:autoSpaceDN w:val="0"/>
              <w:adjustRightInd w:val="0"/>
              <w:snapToGrid w:val="0"/>
              <w:jc w:val="center"/>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bidi="zh-CN"/>
              </w:rPr>
              <w:t>0-8分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2"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7" w:type="pct"/>
            <w:gridSpan w:val="3"/>
            <w:tcBorders>
              <w:top w:val="single" w:color="auto" w:sz="4" w:space="0"/>
              <w:left w:val="single" w:color="auto" w:sz="4" w:space="0"/>
              <w:bottom w:val="single" w:color="auto" w:sz="4" w:space="0"/>
              <w:right w:val="single" w:color="auto" w:sz="4" w:space="0"/>
            </w:tcBorders>
            <w:vAlign w:val="center"/>
          </w:tcPr>
          <w:p w14:paraId="0DB9D3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w:t>
            </w:r>
            <w:r>
              <w:rPr>
                <w:rFonts w:hint="eastAsia" w:ascii="宋体" w:hAnsi="宋体" w:eastAsia="宋体" w:cs="宋体"/>
                <w:color w:val="auto"/>
                <w:sz w:val="24"/>
                <w:szCs w:val="24"/>
                <w:highlight w:val="none"/>
                <w:lang w:val="en-US" w:bidi="zh-CN"/>
              </w:rPr>
              <w:t>且</w:t>
            </w:r>
            <w:r>
              <w:rPr>
                <w:rFonts w:hint="eastAsia" w:ascii="宋体" w:hAnsi="宋体" w:eastAsia="宋体" w:cs="宋体"/>
                <w:b/>
                <w:bCs/>
                <w:color w:val="auto"/>
                <w:sz w:val="24"/>
                <w:szCs w:val="24"/>
                <w:highlight w:val="none"/>
                <w:lang w:val="en-US" w:bidi="zh-CN"/>
              </w:rPr>
              <w:t>（各供应商</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bidi="zh-CN"/>
              </w:rPr>
              <w:t>÷</w:t>
            </w:r>
            <w:r>
              <w:rPr>
                <w:rFonts w:hint="eastAsia" w:ascii="宋体" w:hAnsi="宋体" w:eastAsia="宋体" w:cs="宋体"/>
                <w:b/>
                <w:bCs/>
                <w:color w:val="auto"/>
                <w:sz w:val="24"/>
                <w:szCs w:val="24"/>
                <w:highlight w:val="none"/>
                <w:lang w:bidi="zh-CN"/>
              </w:rPr>
              <w:t>自身所投产品设计使用年限</w:t>
            </w:r>
            <w:r>
              <w:rPr>
                <w:rFonts w:hint="eastAsia" w:ascii="宋体" w:hAnsi="宋体" w:eastAsia="宋体" w:cs="宋体"/>
                <w:b/>
                <w:bCs/>
                <w:color w:val="auto"/>
                <w:sz w:val="24"/>
                <w:szCs w:val="24"/>
                <w:highlight w:val="none"/>
                <w:lang w:val="en-US" w:bidi="zh-CN"/>
              </w:rPr>
              <w:t>）计算出的</w:t>
            </w:r>
            <w:r>
              <w:rPr>
                <w:rFonts w:hint="eastAsia" w:ascii="宋体" w:hAnsi="宋体" w:eastAsia="宋体" w:cs="宋体"/>
                <w:b/>
                <w:bCs/>
                <w:color w:val="auto"/>
                <w:sz w:val="24"/>
                <w:szCs w:val="24"/>
                <w:highlight w:val="none"/>
                <w:lang w:bidi="zh-CN"/>
              </w:rPr>
              <w:t>最低</w:t>
            </w:r>
            <w:r>
              <w:rPr>
                <w:rFonts w:hint="eastAsia" w:ascii="宋体" w:hAnsi="宋体" w:eastAsia="宋体" w:cs="宋体"/>
                <w:b/>
                <w:bCs/>
                <w:color w:val="auto"/>
                <w:sz w:val="24"/>
                <w:szCs w:val="24"/>
                <w:highlight w:val="none"/>
                <w:lang w:val="en-US" w:bidi="zh-CN"/>
              </w:rPr>
              <w:t>值作</w:t>
            </w:r>
            <w:r>
              <w:rPr>
                <w:rFonts w:hint="eastAsia" w:ascii="宋体" w:hAnsi="宋体" w:eastAsia="宋体" w:cs="宋体"/>
                <w:b/>
                <w:bCs/>
                <w:color w:val="auto"/>
                <w:sz w:val="24"/>
                <w:szCs w:val="24"/>
                <w:highlight w:val="none"/>
                <w:lang w:bidi="zh-CN"/>
              </w:rPr>
              <w:t>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C47167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投标报价得分＝【评标基准价/（投标报价/自身所投产品设计使用年限）】×</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p>
          <w:p w14:paraId="18DC242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r>
              <w:rPr>
                <w:rFonts w:hint="eastAsia" w:ascii="宋体" w:hAnsi="宋体" w:eastAsia="宋体" w:cs="宋体"/>
                <w:color w:val="auto"/>
                <w:sz w:val="24"/>
                <w:szCs w:val="24"/>
                <w:highlight w:val="none"/>
                <w:lang w:bidi="zh-CN"/>
              </w:rPr>
              <w:t>）</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0956BDA5">
      <w:pPr>
        <w:spacing w:line="360" w:lineRule="auto"/>
        <w:ind w:firstLine="435"/>
        <w:rPr>
          <w:rFonts w:hint="eastAsia" w:asciiTheme="minorEastAsia" w:hAnsiTheme="minorEastAsia" w:eastAsiaTheme="minorEastAsia"/>
          <w:color w:val="auto"/>
          <w:sz w:val="24"/>
          <w:highlight w:val="none"/>
        </w:rPr>
      </w:pPr>
    </w:p>
    <w:p w14:paraId="05C983BE">
      <w:pPr>
        <w:spacing w:line="360" w:lineRule="auto"/>
        <w:ind w:firstLine="435"/>
        <w:rPr>
          <w:rFonts w:hint="eastAsia" w:asciiTheme="minorEastAsia" w:hAnsiTheme="minorEastAsia" w:eastAsiaTheme="minorEastAsia"/>
          <w:color w:val="auto"/>
          <w:sz w:val="24"/>
          <w:highlight w:val="none"/>
        </w:rPr>
      </w:pPr>
    </w:p>
    <w:p w14:paraId="3E5DD252">
      <w:pPr>
        <w:spacing w:line="360" w:lineRule="auto"/>
        <w:ind w:firstLine="435"/>
        <w:rPr>
          <w:rFonts w:hint="eastAsia" w:asciiTheme="minorEastAsia" w:hAnsiTheme="minorEastAsia" w:eastAsiaTheme="minorEastAsia"/>
          <w:color w:val="auto"/>
          <w:sz w:val="24"/>
          <w:highlight w:val="none"/>
        </w:rPr>
      </w:pPr>
    </w:p>
    <w:p w14:paraId="2936F284">
      <w:pPr>
        <w:spacing w:line="360" w:lineRule="auto"/>
        <w:ind w:firstLine="435"/>
        <w:rPr>
          <w:rFonts w:hint="eastAsia" w:asciiTheme="minorEastAsia" w:hAnsiTheme="minorEastAsia" w:eastAsiaTheme="minorEastAsia"/>
          <w:color w:val="auto"/>
          <w:sz w:val="24"/>
          <w:highlight w:val="none"/>
        </w:rPr>
      </w:pPr>
    </w:p>
    <w:p w14:paraId="7FCF866C">
      <w:pPr>
        <w:spacing w:line="360" w:lineRule="auto"/>
        <w:ind w:firstLine="435"/>
        <w:rPr>
          <w:rFonts w:hint="eastAsia" w:asciiTheme="minorEastAsia" w:hAnsiTheme="minorEastAsia" w:eastAsiaTheme="minorEastAsia"/>
          <w:color w:val="auto"/>
          <w:sz w:val="24"/>
          <w:highlight w:val="none"/>
        </w:rPr>
      </w:pPr>
    </w:p>
    <w:p w14:paraId="39C6142F">
      <w:pPr>
        <w:spacing w:line="360" w:lineRule="auto"/>
        <w:ind w:firstLine="435"/>
        <w:rPr>
          <w:rFonts w:hint="eastAsia" w:asciiTheme="minorEastAsia" w:hAnsiTheme="minorEastAsia" w:eastAsiaTheme="minorEastAsia"/>
          <w:color w:val="auto"/>
          <w:sz w:val="24"/>
          <w:highlight w:val="none"/>
        </w:rPr>
      </w:pPr>
    </w:p>
    <w:p w14:paraId="41104348">
      <w:pPr>
        <w:spacing w:line="360" w:lineRule="auto"/>
        <w:ind w:firstLine="435"/>
        <w:rPr>
          <w:rFonts w:hint="eastAsia" w:asciiTheme="minorEastAsia" w:hAnsiTheme="minorEastAsia" w:eastAsiaTheme="minorEastAsia"/>
          <w:color w:val="auto"/>
          <w:sz w:val="24"/>
          <w:highlight w:val="none"/>
        </w:rPr>
      </w:pPr>
    </w:p>
    <w:p w14:paraId="61FDAC61">
      <w:pPr>
        <w:spacing w:line="360" w:lineRule="auto"/>
        <w:ind w:firstLine="435"/>
        <w:rPr>
          <w:rFonts w:hint="eastAsia" w:asciiTheme="minorEastAsia" w:hAnsiTheme="minorEastAsia" w:eastAsiaTheme="minorEastAsia"/>
          <w:color w:val="auto"/>
          <w:sz w:val="24"/>
          <w:highlight w:val="none"/>
        </w:rPr>
      </w:pPr>
    </w:p>
    <w:p w14:paraId="4E06A7A8">
      <w:pPr>
        <w:spacing w:line="360" w:lineRule="auto"/>
        <w:ind w:firstLine="435"/>
        <w:rPr>
          <w:rFonts w:hint="eastAsia" w:asciiTheme="minorEastAsia" w:hAnsiTheme="minorEastAsia" w:eastAsiaTheme="minorEastAsia"/>
          <w:color w:val="auto"/>
          <w:sz w:val="24"/>
          <w:highlight w:val="none"/>
        </w:rPr>
      </w:pPr>
    </w:p>
    <w:p w14:paraId="6D7914E8">
      <w:pPr>
        <w:spacing w:line="360" w:lineRule="auto"/>
        <w:ind w:firstLine="435"/>
        <w:rPr>
          <w:rFonts w:hint="eastAsia" w:asciiTheme="minorEastAsia" w:hAnsiTheme="minorEastAsia" w:eastAsiaTheme="minorEastAsia"/>
          <w:color w:val="auto"/>
          <w:sz w:val="24"/>
          <w:highlight w:val="none"/>
        </w:rPr>
      </w:pPr>
    </w:p>
    <w:p w14:paraId="1548F56B">
      <w:pPr>
        <w:spacing w:line="360" w:lineRule="auto"/>
        <w:ind w:firstLine="435"/>
        <w:rPr>
          <w:rFonts w:hint="eastAsia" w:asciiTheme="minorEastAsia" w:hAnsiTheme="minorEastAsia" w:eastAsiaTheme="minorEastAsia"/>
          <w:color w:val="auto"/>
          <w:sz w:val="24"/>
          <w:highlight w:val="none"/>
        </w:rPr>
      </w:pPr>
    </w:p>
    <w:p w14:paraId="51B36D0D">
      <w:pPr>
        <w:spacing w:line="360" w:lineRule="auto"/>
        <w:ind w:firstLine="435"/>
        <w:rPr>
          <w:rFonts w:hint="eastAsia" w:asciiTheme="minorEastAsia" w:hAnsiTheme="minorEastAsia" w:eastAsiaTheme="minorEastAsia"/>
          <w:color w:val="auto"/>
          <w:sz w:val="24"/>
          <w:highlight w:val="none"/>
        </w:rPr>
      </w:pPr>
    </w:p>
    <w:p w14:paraId="498E60AB">
      <w:pPr>
        <w:spacing w:line="360" w:lineRule="auto"/>
        <w:ind w:firstLine="435"/>
        <w:rPr>
          <w:rFonts w:hint="eastAsia" w:asciiTheme="minorEastAsia" w:hAnsiTheme="minorEastAsia" w:eastAsiaTheme="minorEastAsia"/>
          <w:color w:val="auto"/>
          <w:sz w:val="24"/>
          <w:highlight w:val="none"/>
        </w:rPr>
      </w:pPr>
    </w:p>
    <w:p w14:paraId="17E5A52E">
      <w:pPr>
        <w:spacing w:line="360" w:lineRule="auto"/>
        <w:ind w:firstLine="435"/>
        <w:rPr>
          <w:rFonts w:hint="eastAsia" w:asciiTheme="minorEastAsia" w:hAnsiTheme="minorEastAsia" w:eastAsiaTheme="minorEastAsia"/>
          <w:color w:val="auto"/>
          <w:sz w:val="24"/>
          <w:highlight w:val="none"/>
        </w:rPr>
      </w:pPr>
    </w:p>
    <w:p w14:paraId="0B73C533">
      <w:pPr>
        <w:spacing w:line="360" w:lineRule="auto"/>
        <w:ind w:firstLine="435"/>
        <w:rPr>
          <w:rFonts w:hint="eastAsia" w:asciiTheme="minorEastAsia" w:hAnsiTheme="minorEastAsia" w:eastAsiaTheme="minorEastAsia"/>
          <w:color w:val="auto"/>
          <w:sz w:val="24"/>
          <w:highlight w:val="none"/>
        </w:rPr>
      </w:pPr>
    </w:p>
    <w:p w14:paraId="2007200B">
      <w:pPr>
        <w:spacing w:line="360" w:lineRule="auto"/>
        <w:ind w:firstLine="435"/>
        <w:rPr>
          <w:rFonts w:hint="eastAsia" w:asciiTheme="minorEastAsia" w:hAnsiTheme="minorEastAsia" w:eastAsiaTheme="minorEastAsia"/>
          <w:color w:val="auto"/>
          <w:sz w:val="24"/>
          <w:highlight w:val="none"/>
        </w:rPr>
      </w:pPr>
    </w:p>
    <w:p w14:paraId="63B13D3E">
      <w:pPr>
        <w:spacing w:line="360" w:lineRule="auto"/>
        <w:ind w:firstLine="435"/>
        <w:rPr>
          <w:rFonts w:hint="eastAsia" w:asciiTheme="minorEastAsia" w:hAnsiTheme="minorEastAsia" w:eastAsiaTheme="minorEastAsia"/>
          <w:color w:val="auto"/>
          <w:sz w:val="24"/>
          <w:highlight w:val="none"/>
        </w:rPr>
      </w:pPr>
    </w:p>
    <w:p w14:paraId="332AC115">
      <w:pPr>
        <w:spacing w:line="360" w:lineRule="auto"/>
        <w:ind w:firstLine="435"/>
        <w:rPr>
          <w:rFonts w:hint="eastAsia" w:asciiTheme="minorEastAsia" w:hAnsiTheme="minorEastAsia" w:eastAsiaTheme="minorEastAsia"/>
          <w:color w:val="auto"/>
          <w:sz w:val="24"/>
          <w:highlight w:val="none"/>
        </w:rPr>
      </w:pPr>
    </w:p>
    <w:p w14:paraId="7B1699FE">
      <w:pPr>
        <w:spacing w:line="360" w:lineRule="auto"/>
        <w:ind w:firstLine="435"/>
        <w:rPr>
          <w:rFonts w:hint="eastAsia" w:asciiTheme="minorEastAsia" w:hAnsiTheme="minorEastAsia" w:eastAsiaTheme="minorEastAsia"/>
          <w:color w:val="auto"/>
          <w:sz w:val="24"/>
          <w:highlight w:val="none"/>
        </w:rPr>
      </w:pPr>
    </w:p>
    <w:p w14:paraId="70A92CDB">
      <w:pPr>
        <w:spacing w:line="360" w:lineRule="auto"/>
        <w:ind w:firstLine="435"/>
        <w:rPr>
          <w:rFonts w:hint="eastAsia" w:asciiTheme="minorEastAsia" w:hAnsiTheme="minorEastAsia" w:eastAsiaTheme="minorEastAsia"/>
          <w:color w:val="auto"/>
          <w:sz w:val="24"/>
          <w:highlight w:val="none"/>
        </w:rPr>
      </w:pPr>
    </w:p>
    <w:p w14:paraId="0CF6F082">
      <w:pPr>
        <w:spacing w:line="360" w:lineRule="auto"/>
        <w:ind w:firstLine="435"/>
        <w:rPr>
          <w:rFonts w:hint="eastAsia" w:asciiTheme="minorEastAsia" w:hAnsiTheme="minorEastAsia" w:eastAsiaTheme="minorEastAsia"/>
          <w:color w:val="auto"/>
          <w:sz w:val="24"/>
          <w:highlight w:val="none"/>
        </w:rPr>
      </w:pPr>
    </w:p>
    <w:p w14:paraId="7AB86094">
      <w:pPr>
        <w:spacing w:line="360" w:lineRule="auto"/>
        <w:ind w:firstLine="435"/>
        <w:rPr>
          <w:rFonts w:hint="eastAsia" w:asciiTheme="minorEastAsia" w:hAnsiTheme="minorEastAsia" w:eastAsiaTheme="minorEastAsia"/>
          <w:color w:val="auto"/>
          <w:sz w:val="24"/>
          <w:highlight w:val="none"/>
        </w:rPr>
      </w:pPr>
    </w:p>
    <w:p w14:paraId="045B742D">
      <w:pPr>
        <w:spacing w:line="360" w:lineRule="auto"/>
        <w:ind w:firstLine="435"/>
        <w:rPr>
          <w:rFonts w:hint="eastAsia" w:asciiTheme="minorEastAsia" w:hAnsiTheme="minorEastAsia" w:eastAsiaTheme="minorEastAsia"/>
          <w:color w:val="auto"/>
          <w:sz w:val="24"/>
          <w:highlight w:val="none"/>
        </w:rPr>
      </w:pPr>
    </w:p>
    <w:p w14:paraId="4C13CA0A">
      <w:pPr>
        <w:pStyle w:val="10"/>
        <w:outlineLvl w:val="0"/>
        <w:rPr>
          <w:rFonts w:hint="eastAsia"/>
          <w:color w:val="auto"/>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6"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6"/>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9"/>
        <w:outlineLvl w:val="9"/>
        <w:rPr>
          <w:rFonts w:hint="eastAsia" w:ascii="宋体" w:hAnsi="宋体" w:eastAsia="宋体" w:cs="宋体"/>
          <w:b/>
          <w:bCs/>
          <w:color w:val="auto"/>
          <w:spacing w:val="-20"/>
          <w:kern w:val="44"/>
          <w:sz w:val="24"/>
          <w:highlight w:val="none"/>
        </w:rPr>
      </w:pPr>
    </w:p>
    <w:p w14:paraId="3333A1FA">
      <w:pPr>
        <w:pStyle w:val="9"/>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9"/>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滁州市第一人民医院物理降温仪采购项目</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CZYY-2026-46</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7" w:name="_Toc22209"/>
      <w:r>
        <w:rPr>
          <w:rFonts w:hint="eastAsia" w:ascii="宋体" w:hAnsi="宋体" w:eastAsia="宋体"/>
          <w:b/>
          <w:color w:val="auto"/>
          <w:sz w:val="24"/>
          <w:highlight w:val="none"/>
        </w:rPr>
        <w:t>第一节 政府采购合同协议书</w:t>
      </w:r>
      <w:bookmarkEnd w:id="57"/>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滁州市第一人民医院物理降温仪采购项目</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CZYY-2026-46</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8" w:name="_Toc27624"/>
      <w:r>
        <w:rPr>
          <w:rFonts w:hint="eastAsia" w:ascii="宋体" w:hAnsi="宋体" w:eastAsia="宋体" w:cs="@仿宋_GB2312"/>
          <w:bCs w:val="0"/>
          <w:color w:val="auto"/>
          <w:sz w:val="24"/>
          <w:szCs w:val="20"/>
          <w:highlight w:val="none"/>
        </w:rPr>
        <w:t>第二节 政府采购合同通用条款</w:t>
      </w:r>
      <w:bookmarkEnd w:id="58"/>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5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535EEF79">
      <w:pPr>
        <w:outlineLvl w:val="9"/>
        <w:rPr>
          <w:rFonts w:hint="eastAsia" w:asciiTheme="minorEastAsia" w:hAnsiTheme="minorEastAsia" w:eastAsiaTheme="minorEastAsia"/>
          <w:b/>
          <w:color w:val="auto"/>
          <w:sz w:val="24"/>
          <w:highlight w:val="none"/>
        </w:rPr>
      </w:pPr>
    </w:p>
    <w:p w14:paraId="41A93374">
      <w:pPr>
        <w:outlineLvl w:val="9"/>
        <w:rPr>
          <w:rFonts w:hint="eastAsia" w:asciiTheme="minorEastAsia" w:hAnsiTheme="minorEastAsia" w:eastAsiaTheme="minorEastAsia"/>
          <w:b/>
          <w:color w:val="auto"/>
          <w:sz w:val="24"/>
          <w:highlight w:val="none"/>
        </w:rPr>
      </w:pPr>
    </w:p>
    <w:p w14:paraId="2159B08D">
      <w:pPr>
        <w:outlineLvl w:val="9"/>
        <w:rPr>
          <w:rFonts w:hint="eastAsia" w:asciiTheme="minorEastAsia" w:hAnsiTheme="minorEastAsia" w:eastAsiaTheme="minorEastAsia"/>
          <w:b/>
          <w:color w:val="auto"/>
          <w:sz w:val="24"/>
          <w:highlight w:val="none"/>
        </w:rPr>
      </w:pPr>
    </w:p>
    <w:p w14:paraId="59FAEEC6">
      <w:pPr>
        <w:outlineLvl w:val="9"/>
        <w:rPr>
          <w:rFonts w:hint="eastAsia" w:asciiTheme="minorEastAsia" w:hAnsiTheme="minorEastAsia" w:eastAsiaTheme="minorEastAsia"/>
          <w:b/>
          <w:color w:val="auto"/>
          <w:sz w:val="24"/>
          <w:highlight w:val="none"/>
        </w:rPr>
      </w:pPr>
    </w:p>
    <w:p w14:paraId="3EDCF71E">
      <w:pPr>
        <w:outlineLvl w:val="9"/>
        <w:rPr>
          <w:rFonts w:hint="eastAsia" w:asciiTheme="minorEastAsia" w:hAnsiTheme="minorEastAsia" w:eastAsiaTheme="minorEastAsia"/>
          <w:b/>
          <w:color w:val="auto"/>
          <w:sz w:val="24"/>
          <w:highlight w:val="none"/>
        </w:rPr>
      </w:pPr>
    </w:p>
    <w:p w14:paraId="53C212DC">
      <w:pPr>
        <w:outlineLvl w:val="9"/>
        <w:rPr>
          <w:rFonts w:hint="eastAsia" w:asciiTheme="minorEastAsia" w:hAnsiTheme="minorEastAsia" w:eastAsiaTheme="minorEastAsia"/>
          <w:b/>
          <w:color w:val="auto"/>
          <w:sz w:val="24"/>
          <w:highlight w:val="none"/>
        </w:rPr>
      </w:pPr>
    </w:p>
    <w:p w14:paraId="5AC12C0A">
      <w:pPr>
        <w:outlineLvl w:val="9"/>
        <w:rPr>
          <w:rFonts w:hint="eastAsia" w:asciiTheme="minorEastAsia" w:hAnsiTheme="minorEastAsia" w:eastAsiaTheme="minorEastAsia"/>
          <w:b/>
          <w:color w:val="auto"/>
          <w:sz w:val="24"/>
          <w:highlight w:val="none"/>
        </w:rPr>
      </w:pPr>
    </w:p>
    <w:p w14:paraId="2375DE6C">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0" w:name="_Toc14549"/>
      <w:r>
        <w:rPr>
          <w:rFonts w:hint="eastAsia" w:asciiTheme="minorEastAsia" w:hAnsiTheme="minorEastAsia" w:eastAsiaTheme="minorEastAsia"/>
          <w:b/>
          <w:color w:val="auto"/>
          <w:sz w:val="28"/>
          <w:highlight w:val="none"/>
        </w:rPr>
        <w:t>第六章  投标文件格式</w:t>
      </w:r>
      <w:bookmarkEnd w:id="60"/>
    </w:p>
    <w:p w14:paraId="6888C9ED">
      <w:pPr>
        <w:jc w:val="right"/>
        <w:outlineLvl w:val="9"/>
        <w:rPr>
          <w:rFonts w:hint="default" w:eastAsia="黑体"/>
          <w:color w:val="auto"/>
          <w:sz w:val="20"/>
          <w:highlight w:val="none"/>
          <w:lang w:val="en-US" w:eastAsia="zh-CN"/>
        </w:rPr>
      </w:pPr>
      <w:bookmarkStart w:id="61" w:name="_Toc28960"/>
      <w:bookmarkStart w:id="62" w:name="_Toc5555"/>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23EC8414">
      <w:pPr>
        <w:spacing w:line="360" w:lineRule="auto"/>
        <w:jc w:val="center"/>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bidi="zh-CN"/>
              </w:rPr>
              <w:t>自身所投产品设计使用年限：</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lang w:val="en-US" w:bidi="zh-CN"/>
              </w:rPr>
              <w:t xml:space="preserve"> 元</w:t>
            </w:r>
            <w:r>
              <w:rPr>
                <w:rFonts w:hint="eastAsia" w:ascii="宋体" w:hAnsi="宋体" w:eastAsia="宋体" w:cs="宋体"/>
                <w:b/>
                <w:bCs/>
                <w:color w:val="auto"/>
                <w:sz w:val="24"/>
                <w:szCs w:val="24"/>
                <w:highlight w:val="none"/>
                <w:lang w:val="en-US" w:eastAsia="zh-CN" w:bidi="zh-CN"/>
              </w:rPr>
              <w:br w:type="textWrapping"/>
            </w:r>
          </w:p>
          <w:p w14:paraId="5F20753A">
            <w:pPr>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0"/>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0A13D758">
      <w:pPr>
        <w:spacing w:line="360" w:lineRule="auto"/>
        <w:jc w:val="center"/>
        <w:outlineLvl w:val="9"/>
        <w:rPr>
          <w:rFonts w:hint="eastAsia" w:ascii="宋体" w:hAnsi="宋体" w:eastAsia="宋体" w:cs="宋体"/>
          <w:b/>
          <w:color w:val="auto"/>
          <w:sz w:val="24"/>
          <w:szCs w:val="24"/>
          <w:highlight w:val="none"/>
          <w:lang w:bidi="ar"/>
        </w:rPr>
      </w:pPr>
    </w:p>
    <w:p w14:paraId="703E6277">
      <w:pPr>
        <w:spacing w:line="360" w:lineRule="auto"/>
        <w:jc w:val="center"/>
        <w:outlineLvl w:val="9"/>
        <w:rPr>
          <w:rFonts w:hint="eastAsia" w:ascii="宋体" w:hAnsi="宋体" w:eastAsia="宋体" w:cs="宋体"/>
          <w:b/>
          <w:color w:val="auto"/>
          <w:sz w:val="24"/>
          <w:szCs w:val="24"/>
          <w:highlight w:val="none"/>
          <w:lang w:bidi="ar"/>
        </w:rPr>
      </w:pPr>
    </w:p>
    <w:p w14:paraId="071F21A7">
      <w:pPr>
        <w:spacing w:line="360" w:lineRule="auto"/>
        <w:jc w:val="center"/>
        <w:outlineLvl w:val="9"/>
        <w:rPr>
          <w:rFonts w:hint="eastAsia" w:ascii="宋体" w:hAnsi="宋体" w:eastAsia="宋体" w:cs="宋体"/>
          <w:b/>
          <w:color w:val="auto"/>
          <w:sz w:val="24"/>
          <w:szCs w:val="24"/>
          <w:highlight w:val="none"/>
          <w:lang w:bidi="ar"/>
        </w:rPr>
      </w:pPr>
    </w:p>
    <w:p w14:paraId="6317A182">
      <w:pPr>
        <w:pStyle w:val="9"/>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04A5524E">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1"/>
    <w:bookmarkEnd w:id="62"/>
    <w:p w14:paraId="06E93961">
      <w:pPr>
        <w:widowControl/>
        <w:jc w:val="center"/>
        <w:outlineLvl w:val="9"/>
        <w:rPr>
          <w:rFonts w:hint="eastAsia" w:ascii="宋体" w:hAnsi="宋体" w:eastAsia="宋体" w:cs="宋体"/>
          <w:b/>
          <w:color w:val="auto"/>
          <w:sz w:val="24"/>
          <w:szCs w:val="24"/>
          <w:highlight w:val="none"/>
          <w:lang w:bidi="ar"/>
        </w:rPr>
      </w:pPr>
      <w:bookmarkStart w:id="69"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0"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9"/>
        <w:rPr>
          <w:rFonts w:hint="eastAsia"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1" w:name="_Toc9754"/>
      <w:bookmarkStart w:id="82" w:name="_Toc26836"/>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3"/>
      <w:bookmarkEnd w:id="84"/>
      <w:bookmarkStart w:id="85" w:name="OLE_LINK92"/>
      <w:bookmarkEnd w:id="85"/>
      <w:bookmarkStart w:id="86" w:name="OLE_LINK91"/>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8" w:name="OLE_LINK87"/>
      <w:bookmarkEnd w:id="88"/>
      <w:bookmarkStart w:id="89" w:name="OLE_LINK86"/>
      <w:bookmarkEnd w:id="89"/>
      <w:bookmarkStart w:id="90" w:name="OLE_LINK119"/>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5"/>
      <w:bookmarkEnd w:id="92"/>
      <w:bookmarkStart w:id="93" w:name="OLE_LINK117"/>
      <w:bookmarkEnd w:id="93"/>
      <w:bookmarkStart w:id="94" w:name="OLE_LINK116"/>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99" w:name="OLE_LINK120"/>
      <w:bookmarkEnd w:id="99"/>
      <w:bookmarkStart w:id="100" w:name="OLE_LINK121"/>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2"/>
      <w:bookmarkEnd w:id="106"/>
      <w:bookmarkStart w:id="107" w:name="OLE_LINK100"/>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6"/>
      <w:bookmarkEnd w:id="110"/>
      <w:bookmarkStart w:id="111" w:name="OLE_LINK105"/>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67146"/>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9B71CDA"/>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3555CC1"/>
    <w:rsid w:val="2411199F"/>
    <w:rsid w:val="241804A5"/>
    <w:rsid w:val="24214489"/>
    <w:rsid w:val="245D47C2"/>
    <w:rsid w:val="24B97929"/>
    <w:rsid w:val="24D632D7"/>
    <w:rsid w:val="25381017"/>
    <w:rsid w:val="25714529"/>
    <w:rsid w:val="25EA1E77"/>
    <w:rsid w:val="265A4FBD"/>
    <w:rsid w:val="26E10E4C"/>
    <w:rsid w:val="270A5A82"/>
    <w:rsid w:val="271E0BB2"/>
    <w:rsid w:val="275518B7"/>
    <w:rsid w:val="276021F9"/>
    <w:rsid w:val="276441B1"/>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CE901CD"/>
    <w:rsid w:val="2D1B2D7A"/>
    <w:rsid w:val="2D496D68"/>
    <w:rsid w:val="2E7A48DE"/>
    <w:rsid w:val="2E9C43C4"/>
    <w:rsid w:val="2EBA5177"/>
    <w:rsid w:val="2EDC3ED8"/>
    <w:rsid w:val="2EE40E2C"/>
    <w:rsid w:val="2F104B00"/>
    <w:rsid w:val="2F5D05DC"/>
    <w:rsid w:val="2F6351B4"/>
    <w:rsid w:val="2F9E02E9"/>
    <w:rsid w:val="2FA53C7A"/>
    <w:rsid w:val="2FC86126"/>
    <w:rsid w:val="2FC968E8"/>
    <w:rsid w:val="2FCF199E"/>
    <w:rsid w:val="30133AD1"/>
    <w:rsid w:val="30483E83"/>
    <w:rsid w:val="307426EA"/>
    <w:rsid w:val="30850E88"/>
    <w:rsid w:val="309317F7"/>
    <w:rsid w:val="30AC2E50"/>
    <w:rsid w:val="30BF3991"/>
    <w:rsid w:val="30C602FF"/>
    <w:rsid w:val="3111619A"/>
    <w:rsid w:val="31424684"/>
    <w:rsid w:val="316F5DC0"/>
    <w:rsid w:val="31B139DC"/>
    <w:rsid w:val="31F07456"/>
    <w:rsid w:val="32497AF3"/>
    <w:rsid w:val="3341378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A05ADB"/>
    <w:rsid w:val="39B40599"/>
    <w:rsid w:val="3A0946EB"/>
    <w:rsid w:val="3A117273"/>
    <w:rsid w:val="3A6818FA"/>
    <w:rsid w:val="3AAD21B4"/>
    <w:rsid w:val="3AB344ED"/>
    <w:rsid w:val="3B0B7552"/>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9F79AE"/>
    <w:rsid w:val="3EA572C5"/>
    <w:rsid w:val="3EBA1EE9"/>
    <w:rsid w:val="3ED2798E"/>
    <w:rsid w:val="3F0833B0"/>
    <w:rsid w:val="3F182204"/>
    <w:rsid w:val="3F792F1E"/>
    <w:rsid w:val="3F9133A5"/>
    <w:rsid w:val="40270EDD"/>
    <w:rsid w:val="403D52DB"/>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48121AB"/>
    <w:rsid w:val="449E0D39"/>
    <w:rsid w:val="452B2B5E"/>
    <w:rsid w:val="4542321E"/>
    <w:rsid w:val="45B222C8"/>
    <w:rsid w:val="45B44292"/>
    <w:rsid w:val="45C73FC5"/>
    <w:rsid w:val="45E32B26"/>
    <w:rsid w:val="45EF5FB8"/>
    <w:rsid w:val="46285197"/>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6905D8"/>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8319C8"/>
    <w:rsid w:val="55C1559C"/>
    <w:rsid w:val="55E10E5A"/>
    <w:rsid w:val="55F068CD"/>
    <w:rsid w:val="560C77D2"/>
    <w:rsid w:val="566C3136"/>
    <w:rsid w:val="567E3943"/>
    <w:rsid w:val="56823A8C"/>
    <w:rsid w:val="568D04F2"/>
    <w:rsid w:val="56B16C89"/>
    <w:rsid w:val="56C43709"/>
    <w:rsid w:val="57033184"/>
    <w:rsid w:val="57637240"/>
    <w:rsid w:val="578B0CFA"/>
    <w:rsid w:val="57CF6D09"/>
    <w:rsid w:val="580845C6"/>
    <w:rsid w:val="587F6530"/>
    <w:rsid w:val="58B91CD7"/>
    <w:rsid w:val="58F17C86"/>
    <w:rsid w:val="593C217C"/>
    <w:rsid w:val="59513E7A"/>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26DAC"/>
    <w:rsid w:val="5CC86079"/>
    <w:rsid w:val="5CD23B73"/>
    <w:rsid w:val="5CD57954"/>
    <w:rsid w:val="5D5A52C7"/>
    <w:rsid w:val="5D5A77C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273712"/>
    <w:rsid w:val="614D4977"/>
    <w:rsid w:val="61704C00"/>
    <w:rsid w:val="61E33ADD"/>
    <w:rsid w:val="624A590A"/>
    <w:rsid w:val="626D25CE"/>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C06712"/>
    <w:rsid w:val="6FD74228"/>
    <w:rsid w:val="7021106F"/>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910ACE"/>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1469</Words>
  <Characters>1603</Characters>
  <Lines>1</Lines>
  <Paragraphs>1</Paragraphs>
  <TotalTime>1</TotalTime>
  <ScaleCrop>false</ScaleCrop>
  <LinksUpToDate>false</LinksUpToDate>
  <CharactersWithSpaces>1686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2025-12-19T06:45:00Z</cp:lastPrinted>
  <dcterms:modified xsi:type="dcterms:W3CDTF">2026-06-30T00:25:34Z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