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default" w:ascii="Therese" w:hAnsi="Therese" w:eastAsia="方正仿宋_GB2312" w:cs="Therese"/>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both"/>
        <w:rPr>
          <w:rFonts w:ascii="宋体" w:hAnsi="宋体" w:eastAsia="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F798573">
      <w:pPr>
        <w:tabs>
          <w:tab w:val="left" w:pos="315"/>
          <w:tab w:val="left" w:pos="8820"/>
        </w:tabs>
        <w:spacing w:before="312" w:beforeLines="100" w:after="156" w:afterLines="50" w:line="500" w:lineRule="exact"/>
        <w:ind w:right="267" w:rightChars="127"/>
        <w:jc w:val="both"/>
        <w:rPr>
          <w:rFonts w:ascii="宋体" w:hAnsi="宋体" w:eastAsia="宋体"/>
          <w:b/>
          <w:bCs/>
          <w:color w:val="auto"/>
          <w:sz w:val="44"/>
          <w:szCs w:val="44"/>
          <w:highlight w:val="none"/>
        </w:rPr>
      </w:pPr>
    </w:p>
    <w:p w14:paraId="3FCAF7A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2DAD23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E8C824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E0DBCFF">
      <w:pPr>
        <w:tabs>
          <w:tab w:val="left" w:pos="2410"/>
        </w:tabs>
        <w:autoSpaceDE w:val="0"/>
        <w:autoSpaceDN w:val="0"/>
        <w:adjustRightInd w:val="0"/>
        <w:snapToGrid w:val="0"/>
        <w:spacing w:line="360" w:lineRule="auto"/>
        <w:ind w:firstLine="361" w:firstLineChars="1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11"/>
          <w:kern w:val="0"/>
          <w:sz w:val="32"/>
          <w:szCs w:val="32"/>
          <w:highlight w:val="none"/>
          <w:u w:val="single"/>
          <w:lang w:val="en-US" w:eastAsia="zh-CN"/>
        </w:rPr>
        <w:t>滁州市第一人民医院直线加速器维保项目（三次）</w:t>
      </w:r>
    </w:p>
    <w:p w14:paraId="7F636BD6">
      <w:pPr>
        <w:tabs>
          <w:tab w:val="left" w:pos="2410"/>
        </w:tabs>
        <w:autoSpaceDE w:val="0"/>
        <w:autoSpaceDN w:val="0"/>
        <w:adjustRightInd w:val="0"/>
        <w:snapToGrid w:val="0"/>
        <w:spacing w:line="360" w:lineRule="auto"/>
        <w:ind w:firstLine="361" w:firstLineChars="1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CZYY-2026-41</w:t>
      </w:r>
    </w:p>
    <w:p w14:paraId="51249B2D">
      <w:pPr>
        <w:tabs>
          <w:tab w:val="left" w:pos="2410"/>
        </w:tabs>
        <w:autoSpaceDE w:val="0"/>
        <w:autoSpaceDN w:val="0"/>
        <w:adjustRightInd w:val="0"/>
        <w:snapToGrid w:val="0"/>
        <w:spacing w:line="360" w:lineRule="auto"/>
        <w:ind w:firstLine="361" w:firstLineChars="1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2C32C5EF">
      <w:pPr>
        <w:tabs>
          <w:tab w:val="left" w:pos="2410"/>
        </w:tabs>
        <w:autoSpaceDE w:val="0"/>
        <w:autoSpaceDN w:val="0"/>
        <w:adjustRightInd w:val="0"/>
        <w:snapToGrid w:val="0"/>
        <w:spacing w:line="360" w:lineRule="auto"/>
        <w:ind w:firstLine="361" w:firstLineChars="1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2026年7月</w:t>
      </w:r>
    </w:p>
    <w:p w14:paraId="0CB8C164">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C349A9C">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w:instrText>
      </w:r>
      <w:r>
        <w:rPr>
          <w:rFonts w:hint="eastAsia" w:ascii="宋体" w:hAnsi="宋体" w:eastAsia="宋体"/>
          <w:color w:val="auto"/>
          <w:szCs w:val="24"/>
          <w:highlight w:val="none"/>
        </w:rPr>
        <w:instrText xml:space="preserve">TOC \o "1-2" \h \z \u</w:instrText>
      </w:r>
      <w:r>
        <w:rPr>
          <w:rFonts w:ascii="宋体" w:hAnsi="宋体" w:eastAsia="宋体"/>
          <w:color w:val="auto"/>
          <w:szCs w:val="24"/>
          <w:highlight w:val="none"/>
        </w:rPr>
        <w:instrText xml:space="preserve"> </w:instrText>
      </w:r>
      <w:r>
        <w:rPr>
          <w:rFonts w:ascii="宋体" w:hAnsi="宋体" w:eastAsia="宋体"/>
          <w:color w:val="auto"/>
          <w:szCs w:val="24"/>
          <w:highlight w:val="none"/>
        </w:rPr>
        <w:fldChar w:fldCharType="separate"/>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_Toc23443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第一章 </w:t>
      </w:r>
      <w:r>
        <w:rPr>
          <w:rFonts w:ascii="宋体" w:hAnsi="宋体" w:eastAsia="宋体"/>
          <w:color w:val="auto"/>
          <w:szCs w:val="24"/>
          <w:highlight w:val="none"/>
        </w:rPr>
        <w:t xml:space="preserve"> 投标邀请</w:t>
      </w:r>
      <w:r>
        <w:rPr>
          <w:rFonts w:ascii="宋体" w:hAnsi="宋体" w:eastAsia="宋体"/>
          <w:color w:val="auto"/>
          <w:szCs w:val="24"/>
          <w:highlight w:val="none"/>
        </w:rPr>
        <w:tab/>
      </w:r>
      <w:r>
        <w:rPr>
          <w:rFonts w:hint="eastAsia" w:ascii="宋体" w:hAnsi="宋体"/>
          <w:color w:val="auto"/>
          <w:szCs w:val="24"/>
          <w:highlight w:val="none"/>
          <w:lang w:val="en-US" w:eastAsia="zh-CN"/>
        </w:rPr>
        <w:t>3</w:t>
      </w:r>
      <w:r>
        <w:rPr>
          <w:rFonts w:ascii="宋体" w:hAnsi="宋体" w:eastAsia="宋体"/>
          <w:color w:val="auto"/>
          <w:szCs w:val="24"/>
          <w:highlight w:val="none"/>
        </w:rPr>
        <w:fldChar w:fldCharType="end"/>
      </w:r>
    </w:p>
    <w:p w14:paraId="3B6479F8">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_Toc31935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第二章</w:t>
      </w:r>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r>
        <w:rPr>
          <w:rFonts w:ascii="宋体" w:hAnsi="宋体" w:eastAsia="宋体"/>
          <w:color w:val="auto"/>
          <w:szCs w:val="24"/>
          <w:highlight w:val="none"/>
        </w:rPr>
        <w:t>投标人须知</w:t>
      </w:r>
      <w:r>
        <w:rPr>
          <w:rFonts w:ascii="宋体" w:hAnsi="宋体" w:eastAsia="宋体"/>
          <w:color w:val="auto"/>
          <w:szCs w:val="24"/>
          <w:highlight w:val="none"/>
        </w:rPr>
        <w:tab/>
      </w:r>
      <w:r>
        <w:rPr>
          <w:rFonts w:hint="eastAsia" w:ascii="宋体" w:hAnsi="宋体"/>
          <w:color w:val="auto"/>
          <w:szCs w:val="24"/>
          <w:highlight w:val="none"/>
          <w:lang w:val="en-US" w:eastAsia="zh-CN"/>
        </w:rPr>
        <w:t>5</w:t>
      </w:r>
      <w:r>
        <w:rPr>
          <w:rFonts w:ascii="宋体" w:hAnsi="宋体" w:eastAsia="宋体"/>
          <w:color w:val="auto"/>
          <w:szCs w:val="24"/>
          <w:highlight w:val="none"/>
        </w:rPr>
        <w:fldChar w:fldCharType="end"/>
      </w:r>
    </w:p>
    <w:p w14:paraId="31977EAB">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_Toc10891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第三章  采购需求</w:t>
      </w:r>
      <w:r>
        <w:rPr>
          <w:rFonts w:ascii="宋体" w:hAnsi="宋体" w:eastAsia="宋体"/>
          <w:color w:val="auto"/>
          <w:szCs w:val="24"/>
          <w:highlight w:val="none"/>
        </w:rPr>
        <w:tab/>
      </w:r>
      <w:r>
        <w:rPr>
          <w:rFonts w:hint="eastAsia" w:ascii="宋体" w:hAnsi="宋体"/>
          <w:color w:val="auto"/>
          <w:szCs w:val="24"/>
          <w:highlight w:val="none"/>
          <w:lang w:val="en-US" w:eastAsia="zh-CN"/>
        </w:rPr>
        <w:t>1</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9</w:t>
      </w:r>
    </w:p>
    <w:p w14:paraId="3532E6FF">
      <w:pPr>
        <w:pStyle w:val="19"/>
        <w:tabs>
          <w:tab w:val="right" w:leader="dot" w:pos="8306"/>
        </w:tabs>
        <w:rPr>
          <w:rFonts w:hint="eastAsia" w:ascii="宋体" w:hAnsi="宋体" w:eastAsia="宋体"/>
          <w:color w:val="auto"/>
          <w:szCs w:val="24"/>
          <w:highlight w:val="none"/>
          <w:lang w:val="en-US" w:eastAsia="zh-CN"/>
        </w:rPr>
      </w:pPr>
      <w:r>
        <w:rPr>
          <w:rFonts w:hint="default" w:ascii="宋体" w:hAnsi="宋体" w:eastAsia="宋体"/>
          <w:color w:val="auto"/>
          <w:szCs w:val="24"/>
          <w:highlight w:val="none"/>
        </w:rPr>
        <w:fldChar w:fldCharType="begin"/>
      </w:r>
      <w:r>
        <w:rPr>
          <w:rFonts w:hint="default" w:ascii="宋体" w:hAnsi="宋体" w:eastAsia="宋体"/>
          <w:color w:val="auto"/>
          <w:szCs w:val="24"/>
          <w:highlight w:val="none"/>
        </w:rPr>
        <w:instrText xml:space="preserve"> HYPERLINK \l _Toc16417 </w:instrText>
      </w:r>
      <w:r>
        <w:rPr>
          <w:rFonts w:hint="default" w:ascii="宋体" w:hAnsi="宋体" w:eastAsia="宋体"/>
          <w:color w:val="auto"/>
          <w:szCs w:val="24"/>
          <w:highlight w:val="none"/>
        </w:rPr>
        <w:fldChar w:fldCharType="separate"/>
      </w:r>
      <w:r>
        <w:rPr>
          <w:rFonts w:hint="default" w:ascii="宋体" w:hAnsi="宋体" w:eastAsia="宋体"/>
          <w:color w:val="auto"/>
          <w:szCs w:val="24"/>
          <w:highlight w:val="none"/>
        </w:rPr>
        <w:t>第四章  评标方法和标准（最低评标价法）</w:t>
      </w:r>
      <w:r>
        <w:rPr>
          <w:rFonts w:hint="default" w:ascii="宋体" w:hAnsi="宋体" w:eastAsia="宋体"/>
          <w:color w:val="auto"/>
          <w:szCs w:val="24"/>
          <w:highlight w:val="none"/>
        </w:rPr>
        <w:tab/>
      </w:r>
      <w:r>
        <w:rPr>
          <w:rFonts w:hint="default" w:ascii="宋体" w:hAnsi="宋体" w:eastAsia="宋体"/>
          <w:color w:val="auto"/>
          <w:szCs w:val="24"/>
          <w:highlight w:val="none"/>
        </w:rPr>
        <w:fldChar w:fldCharType="end"/>
      </w:r>
      <w:r>
        <w:rPr>
          <w:rFonts w:hint="eastAsia" w:ascii="宋体" w:hAnsi="宋体"/>
          <w:color w:val="auto"/>
          <w:szCs w:val="24"/>
          <w:highlight w:val="none"/>
          <w:lang w:val="en-US" w:eastAsia="zh-CN"/>
        </w:rPr>
        <w:t>21</w:t>
      </w:r>
    </w:p>
    <w:p w14:paraId="72403DD6">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_Toc4682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第五章  </w:t>
      </w:r>
      <w:r>
        <w:rPr>
          <w:rFonts w:ascii="宋体" w:hAnsi="宋体" w:eastAsia="宋体"/>
          <w:color w:val="auto"/>
          <w:szCs w:val="24"/>
          <w:highlight w:val="none"/>
        </w:rPr>
        <w:t>政府采购合同</w:t>
      </w:r>
      <w:r>
        <w:rPr>
          <w:rFonts w:ascii="宋体" w:hAnsi="宋体" w:eastAsia="宋体"/>
          <w:color w:val="auto"/>
          <w:szCs w:val="24"/>
          <w:highlight w:val="none"/>
        </w:rPr>
        <w:tab/>
      </w:r>
      <w:r>
        <w:rPr>
          <w:rFonts w:hint="eastAsia" w:ascii="宋体" w:hAnsi="宋体"/>
          <w:color w:val="auto"/>
          <w:szCs w:val="24"/>
          <w:highlight w:val="none"/>
          <w:lang w:val="en-US" w:eastAsia="zh-CN"/>
        </w:rPr>
        <w:t>2</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3</w:t>
      </w:r>
    </w:p>
    <w:p w14:paraId="4D49014F">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_Toc22492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第六章  投标文件格式</w:t>
      </w:r>
      <w:r>
        <w:rPr>
          <w:rFonts w:ascii="宋体" w:hAnsi="宋体" w:eastAsia="宋体"/>
          <w:color w:val="auto"/>
          <w:szCs w:val="24"/>
          <w:highlight w:val="none"/>
        </w:rPr>
        <w:tab/>
      </w:r>
      <w:r>
        <w:rPr>
          <w:rFonts w:hint="eastAsia" w:ascii="宋体" w:hAnsi="宋体"/>
          <w:color w:val="auto"/>
          <w:szCs w:val="24"/>
          <w:highlight w:val="none"/>
          <w:lang w:val="en-US" w:eastAsia="zh-CN"/>
        </w:rPr>
        <w:t>32</w:t>
      </w:r>
      <w:r>
        <w:rPr>
          <w:rFonts w:ascii="宋体" w:hAnsi="宋体" w:eastAsia="宋体"/>
          <w:color w:val="auto"/>
          <w:szCs w:val="24"/>
          <w:highlight w:val="none"/>
        </w:rPr>
        <w:fldChar w:fldCharType="end"/>
      </w:r>
    </w:p>
    <w:p w14:paraId="471A3F76">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_Toc18131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w:t>
      </w:r>
      <w:r>
        <w:rPr>
          <w:rFonts w:hint="eastAsia" w:ascii="宋体" w:hAnsi="宋体" w:eastAsia="宋体"/>
          <w:color w:val="auto"/>
          <w:szCs w:val="24"/>
          <w:highlight w:val="none"/>
          <w:lang w:val="en-US" w:eastAsia="zh-CN"/>
        </w:rPr>
        <w:t>七</w:t>
      </w:r>
      <w:r>
        <w:rPr>
          <w:rFonts w:hint="eastAsia" w:ascii="宋体" w:hAnsi="宋体" w:eastAsia="宋体"/>
          <w:color w:val="auto"/>
          <w:szCs w:val="24"/>
          <w:highlight w:val="none"/>
        </w:rPr>
        <w:t>章  政府采购供应商询问函和质疑函范本</w:t>
      </w:r>
      <w:r>
        <w:rPr>
          <w:rFonts w:ascii="宋体" w:hAnsi="宋体" w:eastAsia="宋体"/>
          <w:color w:val="auto"/>
          <w:szCs w:val="24"/>
          <w:highlight w:val="none"/>
        </w:rPr>
        <w:tab/>
      </w:r>
      <w:r>
        <w:rPr>
          <w:rFonts w:hint="eastAsia" w:ascii="宋体" w:hAnsi="宋体" w:eastAsia="宋体"/>
          <w:color w:val="auto"/>
          <w:szCs w:val="24"/>
          <w:highlight w:val="none"/>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2</w:t>
      </w:r>
    </w:p>
    <w:p w14:paraId="40725959">
      <w:pPr>
        <w:pStyle w:val="19"/>
        <w:tabs>
          <w:tab w:val="right" w:leader="dot" w:pos="8306"/>
        </w:tabs>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1B013241">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040CCC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滁州市第一人民医院直线加速器维保项目（三次）</w:t>
      </w:r>
      <w:r>
        <w:rPr>
          <w:rFonts w:hint="eastAsia" w:ascii="宋体" w:hAnsi="宋体" w:eastAsia="宋体"/>
          <w:color w:val="auto"/>
          <w:sz w:val="24"/>
          <w:highlight w:val="none"/>
        </w:rPr>
        <w:t>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w:t>
      </w:r>
      <w:r>
        <w:rPr>
          <w:rFonts w:hint="eastAsia" w:ascii="宋体" w:hAnsi="宋体" w:eastAsia="宋体"/>
          <w:color w:val="auto"/>
          <w:sz w:val="24"/>
          <w:highlight w:val="none"/>
          <w:u w:val="single"/>
          <w:lang w:val="en-US" w:eastAsia="zh-CN"/>
        </w:rPr>
        <w:t>6</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7</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20</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15</w:t>
      </w:r>
      <w:r>
        <w:rPr>
          <w:rFonts w:hint="eastAsia" w:ascii="宋体" w:hAnsi="宋体" w:eastAsia="宋体"/>
          <w:color w:val="auto"/>
          <w:sz w:val="24"/>
          <w:highlight w:val="none"/>
          <w:u w:val="single"/>
        </w:rPr>
        <w:t>点00分</w:t>
      </w:r>
      <w:r>
        <w:rPr>
          <w:rFonts w:hint="eastAsia" w:ascii="宋体" w:hAnsi="宋体" w:eastAsia="宋体"/>
          <w:color w:val="auto"/>
          <w:sz w:val="24"/>
          <w:highlight w:val="none"/>
        </w:rPr>
        <w:t>（北京时间）前递交投标文件。</w:t>
      </w:r>
    </w:p>
    <w:p w14:paraId="2899C37B">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E8CAE21">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CZYY-2026-41</w:t>
      </w:r>
    </w:p>
    <w:p w14:paraId="0478C8FE">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滁州市第一人民医院直线加速器维保项目（三次）</w:t>
      </w:r>
    </w:p>
    <w:p w14:paraId="41994096">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olor w:val="auto"/>
          <w:sz w:val="24"/>
          <w:highlight w:val="none"/>
          <w:lang w:val="en-US"/>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48.8万元/年</w:t>
      </w:r>
    </w:p>
    <w:p w14:paraId="2551944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48.8万元，高于最高限价其投标文件按无效投标处理。</w:t>
      </w:r>
    </w:p>
    <w:p w14:paraId="342EE49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val="en-US" w:eastAsia="zh-CN"/>
        </w:rPr>
        <w:t>具体详见招标文件采购需求</w:t>
      </w:r>
      <w:r>
        <w:rPr>
          <w:rFonts w:hint="eastAsia" w:ascii="宋体" w:hAnsi="宋体" w:eastAsia="宋体"/>
          <w:color w:val="auto"/>
          <w:sz w:val="24"/>
          <w:highlight w:val="none"/>
          <w:u w:val="single"/>
          <w:lang w:eastAsia="zh-CN"/>
        </w:rPr>
        <w:t>。</w:t>
      </w:r>
    </w:p>
    <w:p w14:paraId="4C98AB0F">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三年。</w:t>
      </w:r>
    </w:p>
    <w:p w14:paraId="470BE722">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097D12D4">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337D165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0873DAF8">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2.本项目的特定资格要求：</w:t>
      </w:r>
      <w:r>
        <w:rPr>
          <w:rFonts w:hint="eastAsia" w:ascii="宋体" w:hAnsi="宋体" w:eastAsia="宋体"/>
          <w:color w:val="auto"/>
          <w:sz w:val="24"/>
          <w:highlight w:val="none"/>
          <w:u w:val="single"/>
          <w:lang w:val="en-US" w:eastAsia="zh-CN"/>
        </w:rPr>
        <w:t>投标人具有有效期内的辐射安全许可证，种类和范围包含使用Ⅱ类射线装置；</w:t>
      </w:r>
    </w:p>
    <w:p w14:paraId="57C54CA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3.信誉要求：投标人不得存在以下情形： </w:t>
      </w:r>
    </w:p>
    <w:p w14:paraId="79811B3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①被列入“信用中国”网站“失信被执行人”的；</w:t>
      </w:r>
    </w:p>
    <w:p w14:paraId="5883690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②被列入“信用中国”网站“重大税收违法失信主体”的；</w:t>
      </w:r>
    </w:p>
    <w:p w14:paraId="59281D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③被列入“信用中国”网站 “严重失信主体名单”的；</w:t>
      </w:r>
    </w:p>
    <w:p w14:paraId="4002F3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④在“信用中国”网站上披露的仍在公示期的严重失信行为的。</w:t>
      </w:r>
    </w:p>
    <w:p w14:paraId="76D38DC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⑤被列入国家企业信用信息公示系统网站“经营异常名录”或者“严重违法失信名单”的。</w:t>
      </w:r>
    </w:p>
    <w:p w14:paraId="7F28C6C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⑥被列入中国政府采购网站“政府采购严重违法失信行为信息记录”的。</w:t>
      </w:r>
    </w:p>
    <w:p w14:paraId="13D4B6DF">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⑦前三年有行贿犯罪行为的单位和个人。 </w:t>
      </w:r>
    </w:p>
    <w:p w14:paraId="64384529">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4.投标人所属分公司、办事处等分支机构存在第3款信誉要求①-⑦项情形之一的，接受投标人参加本项目。 </w:t>
      </w:r>
    </w:p>
    <w:p w14:paraId="5EFEAA2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3、4条自行查询或承诺。</w:t>
      </w:r>
    </w:p>
    <w:p w14:paraId="53530650">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85A6F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20</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滁州市第一人民医院官网</w:t>
      </w:r>
    </w:p>
    <w:p w14:paraId="501E7F7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37F4F7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7</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20</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3CF52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开标时间：</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7</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20</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滁州市第一人民医院南区行政楼五楼西招标办</w:t>
      </w:r>
    </w:p>
    <w:p w14:paraId="2350B0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13" w:name="_Toc8807"/>
      <w:bookmarkStart w:id="14" w:name="_Toc35393626"/>
      <w:bookmarkStart w:id="15" w:name="_Toc35393795"/>
      <w:r>
        <w:rPr>
          <w:rFonts w:hint="eastAsia" w:ascii="宋体" w:hAnsi="宋体" w:eastAsia="宋体"/>
          <w:b/>
          <w:bCs/>
          <w:color w:val="auto"/>
          <w:sz w:val="24"/>
          <w:szCs w:val="18"/>
          <w:highlight w:val="none"/>
        </w:rPr>
        <w:t>六、其他补充事宜</w:t>
      </w:r>
      <w:bookmarkEnd w:id="13"/>
      <w:bookmarkEnd w:id="14"/>
      <w:bookmarkEnd w:id="15"/>
    </w:p>
    <w:bookmarkEnd w:id="12"/>
    <w:p w14:paraId="565CDDC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151D0C3">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284D8C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AFC57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59A1385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3016006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6AD7FB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4793118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滁州市南谯南路2808号世贸购物生活广场公寓1幢20层2016室</w:t>
      </w:r>
    </w:p>
    <w:p w14:paraId="2B2C4B35">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r>
        <w:rPr>
          <w:rFonts w:hint="eastAsia" w:ascii="宋体" w:hAnsi="宋体" w:eastAsia="宋体" w:cs="宋体"/>
          <w:i w:val="0"/>
          <w:iCs w:val="0"/>
          <w:caps w:val="0"/>
          <w:color w:val="333333"/>
          <w:spacing w:val="0"/>
          <w:sz w:val="24"/>
          <w:szCs w:val="24"/>
          <w:highlight w:val="none"/>
          <w:u w:val="single"/>
          <w:shd w:val="clear" w:color="auto" w:fill="FFFFFF"/>
          <w:lang w:eastAsia="zh-CN"/>
        </w:rPr>
        <w:t>、</w:t>
      </w:r>
      <w:r>
        <w:rPr>
          <w:rFonts w:hint="eastAsia" w:ascii="宋体" w:hAnsi="宋体" w:eastAsia="宋体" w:cs="宋体"/>
          <w:i w:val="0"/>
          <w:iCs w:val="0"/>
          <w:caps w:val="0"/>
          <w:color w:val="333333"/>
          <w:spacing w:val="0"/>
          <w:sz w:val="24"/>
          <w:szCs w:val="24"/>
          <w:highlight w:val="none"/>
          <w:u w:val="single"/>
          <w:shd w:val="clear" w:color="auto" w:fill="FFFFFF"/>
          <w:lang w:val="en-US" w:eastAsia="zh-CN"/>
        </w:rPr>
        <w:t>15155030510</w:t>
      </w:r>
    </w:p>
    <w:p w14:paraId="6F1DC5E9">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7D5B692">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66373EB4">
      <w:pPr>
        <w:spacing w:line="360" w:lineRule="auto"/>
        <w:jc w:val="center"/>
        <w:outlineLvl w:val="1"/>
        <w:rPr>
          <w:rFonts w:ascii="宋体" w:hAnsi="宋体" w:eastAsia="宋体"/>
          <w:b/>
          <w:color w:val="auto"/>
          <w:sz w:val="24"/>
          <w:highlight w:val="none"/>
        </w:rPr>
      </w:pPr>
      <w:bookmarkStart w:id="19" w:name="_Toc7178"/>
      <w:bookmarkStart w:id="20" w:name="_Toc3114"/>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53ABF66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165"/>
        <w:gridCol w:w="5486"/>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C56F9C">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250" w:type="pct"/>
            <w:vAlign w:val="center"/>
          </w:tcPr>
          <w:p w14:paraId="17A0DC9F">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168" w:type="pct"/>
            <w:vAlign w:val="center"/>
          </w:tcPr>
          <w:p w14:paraId="35BEB1E9">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F8E7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250" w:type="pct"/>
            <w:vAlign w:val="center"/>
          </w:tcPr>
          <w:p w14:paraId="516D582C">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168"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8559882">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2A522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250" w:type="pct"/>
            <w:vAlign w:val="center"/>
          </w:tcPr>
          <w:p w14:paraId="41469F93">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168" w:type="pct"/>
            <w:vAlign w:val="center"/>
          </w:tcPr>
          <w:p w14:paraId="2564C531">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7</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15</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36F92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250" w:type="pct"/>
            <w:vAlign w:val="center"/>
          </w:tcPr>
          <w:p w14:paraId="2EA1BF6D">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168" w:type="pct"/>
            <w:vAlign w:val="center"/>
          </w:tcPr>
          <w:p w14:paraId="38EC1F6C">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  个包</w:t>
            </w:r>
          </w:p>
          <w:p w14:paraId="2DB8E686">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81" w:type="pct"/>
            <w:vAlign w:val="center"/>
          </w:tcPr>
          <w:p w14:paraId="107E86E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250" w:type="pct"/>
            <w:vAlign w:val="center"/>
          </w:tcPr>
          <w:p w14:paraId="2C5BEE30">
            <w:pPr>
              <w:pStyle w:val="35"/>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168" w:type="pct"/>
            <w:vAlign w:val="center"/>
          </w:tcPr>
          <w:p w14:paraId="50F28A74">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CA5390">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250" w:type="pct"/>
            <w:vAlign w:val="center"/>
          </w:tcPr>
          <w:p w14:paraId="3F8C19A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168" w:type="pct"/>
            <w:vAlign w:val="center"/>
          </w:tcPr>
          <w:p w14:paraId="31E0E4A2">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w:t>
            </w:r>
            <w:r>
              <w:rPr>
                <w:rFonts w:hint="eastAsia" w:ascii="宋体" w:hAnsi="宋体" w:eastAsia="宋体"/>
                <w:b w:val="0"/>
                <w:color w:val="auto"/>
                <w:sz w:val="24"/>
                <w:highlight w:val="none"/>
                <w:lang w:val="en-US" w:eastAsia="zh-CN"/>
              </w:rPr>
              <w:t>天</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pct"/>
            <w:vAlign w:val="center"/>
          </w:tcPr>
          <w:p w14:paraId="7237FA9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250" w:type="pct"/>
            <w:vAlign w:val="center"/>
          </w:tcPr>
          <w:p w14:paraId="4538C88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168" w:type="pct"/>
            <w:vAlign w:val="center"/>
          </w:tcPr>
          <w:p w14:paraId="12D25025">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5C2E896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9A632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250" w:type="pct"/>
            <w:vAlign w:val="center"/>
          </w:tcPr>
          <w:p w14:paraId="2316424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168" w:type="pct"/>
            <w:vAlign w:val="center"/>
          </w:tcPr>
          <w:p w14:paraId="2E6A04EE">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A01FB7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581" w:type="pct"/>
            <w:vAlign w:val="center"/>
          </w:tcPr>
          <w:p w14:paraId="727C3C48">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250" w:type="pct"/>
            <w:vAlign w:val="center"/>
          </w:tcPr>
          <w:p w14:paraId="5B0DA1B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168" w:type="pct"/>
            <w:vAlign w:val="center"/>
          </w:tcPr>
          <w:p w14:paraId="5F8BC72D">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评标委员会推荐3名中标候选人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59FF9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250" w:type="pct"/>
            <w:vAlign w:val="center"/>
          </w:tcPr>
          <w:p w14:paraId="7A875E4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168" w:type="pct"/>
            <w:vAlign w:val="center"/>
          </w:tcPr>
          <w:p w14:paraId="3D6A53D2">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color w:val="auto"/>
                <w:kern w:val="0"/>
                <w:sz w:val="24"/>
                <w:szCs w:val="24"/>
                <w:highlight w:val="none"/>
              </w:rPr>
              <w:t>采购人委托评标委员会确定</w:t>
            </w:r>
          </w:p>
          <w:p w14:paraId="3F1FB7CA">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EAA68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250" w:type="pct"/>
            <w:vAlign w:val="center"/>
          </w:tcPr>
          <w:p w14:paraId="44C90C87">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168" w:type="pct"/>
            <w:vAlign w:val="center"/>
          </w:tcPr>
          <w:p w14:paraId="7DD1584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6E03A3">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250" w:type="pct"/>
            <w:vAlign w:val="center"/>
          </w:tcPr>
          <w:p w14:paraId="29B97BCB">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168"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7EA2C1">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250" w:type="pct"/>
            <w:vAlign w:val="center"/>
          </w:tcPr>
          <w:p w14:paraId="6236762E">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168" w:type="pct"/>
          </w:tcPr>
          <w:p w14:paraId="06F0DFCA">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08065A1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250" w:type="pct"/>
            <w:vAlign w:val="center"/>
          </w:tcPr>
          <w:p w14:paraId="27764BDE">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168" w:type="pct"/>
          </w:tcPr>
          <w:p w14:paraId="709B07F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8075F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250" w:type="pct"/>
            <w:vAlign w:val="center"/>
          </w:tcPr>
          <w:p w14:paraId="58797331">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168"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 w:val="0"/>
                <w:bCs w:val="0"/>
                <w:color w:val="auto"/>
                <w:kern w:val="2"/>
                <w:sz w:val="24"/>
                <w:szCs w:val="24"/>
                <w:highlight w:val="none"/>
                <w:lang w:eastAsia="zh-CN"/>
              </w:rPr>
              <w:t>□</w:t>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 w:val="0"/>
                <w:bCs w:val="0"/>
                <w:color w:val="auto"/>
                <w:kern w:val="2"/>
                <w:sz w:val="24"/>
                <w:szCs w:val="24"/>
                <w:highlight w:val="none"/>
                <w:lang w:eastAsia="zh-CN"/>
              </w:rPr>
              <w:t>☑</w:t>
            </w:r>
            <w:r>
              <w:rPr>
                <w:rFonts w:hint="default"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方正仿宋_GB2312"/>
                <w:b w:val="0"/>
                <w:bCs/>
                <w:color w:val="auto"/>
                <w:kern w:val="0"/>
                <w:sz w:val="24"/>
                <w:szCs w:val="28"/>
                <w:highlight w:val="none"/>
                <w:lang w:val="en-US" w:eastAsia="zh-CN" w:bidi="ar-SA"/>
              </w:rPr>
              <w:t>收费标准：</w:t>
            </w:r>
            <w:r>
              <w:rPr>
                <w:rFonts w:hint="eastAsia" w:ascii="宋体" w:hAnsi="宋体" w:eastAsia="宋体" w:cs="宋体"/>
                <w:b w:val="0"/>
                <w:bCs w:val="0"/>
                <w:sz w:val="24"/>
                <w:szCs w:val="24"/>
                <w:highlight w:val="none"/>
                <w:u w:val="single" w:color="auto"/>
                <w:lang w:val="en-US" w:eastAsia="zh-CN"/>
              </w:rPr>
              <w:t>3660元</w:t>
            </w:r>
            <w:r>
              <w:rPr>
                <w:rFonts w:hint="default"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86EE1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250" w:type="pct"/>
            <w:vAlign w:val="center"/>
          </w:tcPr>
          <w:p w14:paraId="42958026">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168" w:type="pct"/>
            <w:vAlign w:val="center"/>
          </w:tcPr>
          <w:p w14:paraId="039965B6">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szCs w:val="20"/>
                <w:highlight w:val="none"/>
              </w:rPr>
              <w:t>递交方式：</w:t>
            </w:r>
            <w:r>
              <w:rPr>
                <w:rFonts w:hint="eastAsia" w:ascii="宋体" w:hAnsi="宋体" w:eastAsia="宋体"/>
                <w:b w:val="0"/>
                <w:color w:val="auto"/>
                <w:sz w:val="24"/>
                <w:highlight w:val="none"/>
                <w:u w:val="single"/>
                <w:lang w:val="en-US" w:eastAsia="zh-CN"/>
              </w:rPr>
              <w:t xml:space="preserve">投标人通过书面形式提出，一份质疑函只能针对一个项目提出质疑，且针对同一采购程序 </w:t>
            </w:r>
          </w:p>
          <w:p w14:paraId="5EEA759A">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环节的质疑应当一次性提出。</w:t>
            </w:r>
          </w:p>
          <w:p w14:paraId="104A78C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46059663">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0550-3526032或18755018236、15155030510</w:t>
            </w:r>
          </w:p>
          <w:p w14:paraId="0D94B8A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滁州市醉翁西路369号或滁州市南谯南路2808号世贸购物生活广场公寓1幢20层2016室</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E508E">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250" w:type="pct"/>
            <w:vAlign w:val="center"/>
          </w:tcPr>
          <w:p w14:paraId="17E3ACB2">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168" w:type="pct"/>
            <w:vAlign w:val="center"/>
          </w:tcPr>
          <w:p w14:paraId="2915BE5D">
            <w:pPr>
              <w:pStyle w:val="35"/>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21B18E38">
            <w:pPr>
              <w:pStyle w:val="35"/>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宋体" w:hAnsi="宋体" w:eastAsia="宋体" w:cs="方正仿宋_GB2312"/>
                <w:b w:val="0"/>
                <w:bCs/>
                <w:color w:val="auto"/>
                <w:kern w:val="2"/>
                <w:sz w:val="24"/>
                <w:szCs w:val="24"/>
                <w:highlight w:val="none"/>
                <w:lang w:val="en-US" w:eastAsia="zh-CN" w:bidi="ar-SA"/>
              </w:rPr>
              <w:t>（5）</w:t>
            </w:r>
            <w:r>
              <w:rPr>
                <w:rFonts w:hint="default" w:ascii="宋体" w:hAnsi="宋体" w:eastAsia="宋体" w:cs="方正仿宋_GB2312"/>
                <w:b w:val="0"/>
                <w:bCs/>
                <w:color w:val="auto"/>
                <w:kern w:val="2"/>
                <w:sz w:val="24"/>
                <w:szCs w:val="24"/>
                <w:highlight w:val="none"/>
                <w:lang w:val="en-US" w:eastAsia="zh-CN" w:bidi="ar-SA"/>
              </w:rPr>
              <w:t>按本款前述规定仍不能形成结论的，由</w:t>
            </w:r>
            <w:r>
              <w:rPr>
                <w:rFonts w:hint="eastAsia" w:ascii="宋体" w:hAnsi="宋体" w:eastAsia="宋体" w:cs="方正仿宋_GB2312"/>
                <w:b w:val="0"/>
                <w:bCs/>
                <w:color w:val="auto"/>
                <w:kern w:val="2"/>
                <w:sz w:val="24"/>
                <w:szCs w:val="24"/>
                <w:highlight w:val="none"/>
                <w:lang w:val="en-US" w:eastAsia="zh-CN" w:bidi="ar-SA"/>
              </w:rPr>
              <w:t>采购</w:t>
            </w:r>
            <w:r>
              <w:rPr>
                <w:rFonts w:hint="default" w:ascii="宋体" w:hAnsi="宋体" w:eastAsia="宋体" w:cs="方正仿宋_GB2312"/>
                <w:b w:val="0"/>
                <w:bCs/>
                <w:color w:val="auto"/>
                <w:kern w:val="2"/>
                <w:sz w:val="24"/>
                <w:szCs w:val="24"/>
                <w:highlight w:val="none"/>
                <w:lang w:val="en-US" w:eastAsia="zh-CN" w:bidi="ar-SA"/>
              </w:rPr>
              <w:t>人负责解释。</w:t>
            </w:r>
          </w:p>
          <w:p w14:paraId="3121E943">
            <w:pPr>
              <w:pStyle w:val="35"/>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2D92A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250" w:type="pct"/>
            <w:vAlign w:val="center"/>
          </w:tcPr>
          <w:p w14:paraId="177A0FFC">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168"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53537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250" w:type="pct"/>
            <w:vAlign w:val="center"/>
          </w:tcPr>
          <w:p w14:paraId="73CEE456">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168"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r w14:paraId="3C03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626DBB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35</w:t>
            </w:r>
          </w:p>
        </w:tc>
        <w:tc>
          <w:tcPr>
            <w:tcW w:w="1250" w:type="pct"/>
            <w:vAlign w:val="center"/>
          </w:tcPr>
          <w:p w14:paraId="5BA6E5E9">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重要说明</w:t>
            </w:r>
          </w:p>
        </w:tc>
        <w:tc>
          <w:tcPr>
            <w:tcW w:w="3168" w:type="pct"/>
            <w:vAlign w:val="center"/>
          </w:tcPr>
          <w:p w14:paraId="35851653">
            <w:pPr>
              <w:keepNext w:val="0"/>
              <w:keepLines w:val="0"/>
              <w:suppressLineNumbers w:val="0"/>
              <w:spacing w:before="0" w:beforeAutospacing="0" w:after="0" w:afterAutospacing="0" w:line="360" w:lineRule="auto"/>
              <w:ind w:left="0" w:right="0"/>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投标人中标后不允许分包、转包。</w:t>
            </w:r>
          </w:p>
        </w:tc>
      </w:tr>
    </w:tbl>
    <w:p w14:paraId="736255BC">
      <w:pPr>
        <w:spacing w:line="360" w:lineRule="auto"/>
        <w:jc w:val="center"/>
        <w:outlineLvl w:val="1"/>
        <w:rPr>
          <w:rFonts w:asciiTheme="minorEastAsia" w:hAnsiTheme="minorEastAsia" w:eastAsiaTheme="minorEastAsia"/>
          <w:b/>
          <w:color w:val="auto"/>
          <w:sz w:val="24"/>
          <w:highlight w:val="none"/>
        </w:rPr>
      </w:pPr>
      <w:r>
        <w:rPr>
          <w:rFonts w:ascii="宋体" w:hAnsi="宋体" w:eastAsia="宋体"/>
          <w:b/>
          <w:color w:val="auto"/>
          <w:sz w:val="28"/>
          <w:highlight w:val="none"/>
        </w:rPr>
        <w:br w:type="page"/>
      </w:r>
      <w:bookmarkStart w:id="21" w:name="_Toc9427"/>
      <w:bookmarkStart w:id="22" w:name="_Toc24882"/>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21"/>
      <w:bookmarkEnd w:id="22"/>
    </w:p>
    <w:p w14:paraId="4610C9AF">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1D304C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5F85A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04B57D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2A451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295DA2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6B6F0D6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7B0E2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7C44FE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9730E5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1808BFF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6603BC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43E10F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3A7EB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3E82E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2D900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48D2A59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2CC0F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7359A7E1">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52734A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0FBA0FB0">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BC887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6F32F5D8">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70CB8BF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w:t>
      </w:r>
      <w:r>
        <w:rPr>
          <w:rFonts w:hint="eastAsia" w:ascii="宋体" w:hAnsi="宋体" w:eastAsia="宋体"/>
          <w:color w:val="auto"/>
          <w:sz w:val="24"/>
          <w:szCs w:val="22"/>
          <w:highlight w:val="none"/>
          <w:lang w:val="en-US" w:eastAsia="zh-CN"/>
        </w:rPr>
        <w:t>及</w:t>
      </w:r>
      <w:r>
        <w:rPr>
          <w:rFonts w:hint="eastAsia" w:ascii="宋体" w:hAnsi="宋体" w:eastAsia="宋体"/>
          <w:color w:val="auto"/>
          <w:sz w:val="24"/>
          <w:szCs w:val="22"/>
          <w:highlight w:val="none"/>
        </w:rPr>
        <w:t>本项目本级和上级财政部门、政府采购监督管理部门的政府采购有关规定的约束，其权利受到上述法律法规的保护。</w:t>
      </w:r>
    </w:p>
    <w:p w14:paraId="56C824C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.招标文件构成</w:t>
      </w:r>
    </w:p>
    <w:p w14:paraId="11CB04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7616E92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06114D9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37DA5FE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919461B">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2D97B7D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C427D4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1BC2A02C">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494B6E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6BEF92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62868EC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1BBD69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截止时间前以</w:t>
      </w:r>
      <w:r>
        <w:rPr>
          <w:rFonts w:hint="eastAsia" w:asciiTheme="minorEastAsia" w:hAnsiTheme="minorEastAsia" w:eastAsiaTheme="minorEastAsia"/>
          <w:color w:val="auto"/>
          <w:sz w:val="24"/>
          <w:highlight w:val="none"/>
          <w:lang w:val="en-US" w:eastAsia="zh-CN"/>
        </w:rPr>
        <w:t>招标文件要求的</w:t>
      </w:r>
      <w:r>
        <w:rPr>
          <w:rFonts w:asciiTheme="minorEastAsia" w:hAnsiTheme="minorEastAsia" w:eastAsiaTheme="minorEastAsia"/>
          <w:color w:val="auto"/>
          <w:sz w:val="24"/>
          <w:highlight w:val="none"/>
        </w:rPr>
        <w:t>提问形式提交给采购代理机构。</w:t>
      </w:r>
    </w:p>
    <w:p w14:paraId="01DE5F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滁州市第一人民医院官网</w:t>
      </w:r>
      <w:r>
        <w:rPr>
          <w:rFonts w:hint="eastAsia" w:asciiTheme="minorEastAsia" w:hAnsiTheme="minorEastAsia" w:eastAsiaTheme="minorEastAsia"/>
          <w:color w:val="auto"/>
          <w:sz w:val="24"/>
          <w:highlight w:val="none"/>
        </w:rPr>
        <w:t>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7FFF0D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A7A2D04">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8AAFD5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7AA793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2267C5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EE8A2CD">
      <w:pPr>
        <w:spacing w:line="360" w:lineRule="auto"/>
        <w:ind w:firstLine="435"/>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及</w:t>
      </w:r>
      <w:r>
        <w:rPr>
          <w:rFonts w:hint="eastAsia" w:asciiTheme="minorEastAsia" w:hAnsiTheme="minorEastAsia" w:eastAsiaTheme="minorEastAsia"/>
          <w:color w:val="auto"/>
          <w:sz w:val="24"/>
          <w:highlight w:val="none"/>
        </w:rPr>
        <w:t>工程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i w:val="0"/>
          <w:iCs w:val="0"/>
          <w:color w:val="auto"/>
          <w:sz w:val="24"/>
          <w:highlight w:val="none"/>
          <w:u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均应符合国家强制性标准。</w:t>
      </w:r>
    </w:p>
    <w:bookmarkEnd w:id="23"/>
    <w:p w14:paraId="6B8EE3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44C6D0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4AD46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3ABBE9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2F0276">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lang w:val="en-US" w:eastAsia="zh-CN"/>
        </w:rPr>
        <w:t>等。</w:t>
      </w:r>
    </w:p>
    <w:bookmarkEnd w:id="24"/>
    <w:p w14:paraId="34AB92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27140E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171220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78A75E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69B8A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8D8376F">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4AACAE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336C5D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E0039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1CFDD2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4D88D0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5DF5AF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7D197D9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A2A96E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1F1CD94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lang w:val="en-US" w:eastAsia="zh-CN"/>
        </w:rPr>
        <w:t>密封</w:t>
      </w:r>
      <w:r>
        <w:rPr>
          <w:rFonts w:asciiTheme="minorEastAsia" w:hAnsiTheme="minorEastAsia" w:eastAsiaTheme="minorEastAsia"/>
          <w:color w:val="auto"/>
          <w:sz w:val="24"/>
          <w:highlight w:val="none"/>
        </w:rPr>
        <w:t>的投标文件</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val="en-US" w:eastAsia="zh-CN"/>
        </w:rPr>
        <w:t>递交至招标人处</w:t>
      </w:r>
      <w:r>
        <w:rPr>
          <w:rFonts w:asciiTheme="minorEastAsia" w:hAnsiTheme="minorEastAsia" w:eastAsiaTheme="minorEastAsia"/>
          <w:color w:val="auto"/>
          <w:sz w:val="24"/>
          <w:highlight w:val="none"/>
        </w:rPr>
        <w:t>。</w:t>
      </w:r>
    </w:p>
    <w:p w14:paraId="2880D1F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.2投标人应当在投标截止时间前完成投标文件的传输递交，并可以补充、修改或者撤回投标文件。投标截止时间前未完成投标文件传输的，视为撤回投标文件。未按规定</w:t>
      </w:r>
      <w:r>
        <w:rPr>
          <w:rFonts w:hint="eastAsia" w:asciiTheme="minorEastAsia" w:hAnsiTheme="minorEastAsia" w:eastAsiaTheme="minorEastAsia"/>
          <w:color w:val="auto"/>
          <w:sz w:val="24"/>
          <w:highlight w:val="none"/>
          <w:lang w:val="en-US" w:eastAsia="zh-CN"/>
        </w:rPr>
        <w:t>密封</w:t>
      </w:r>
      <w:r>
        <w:rPr>
          <w:rFonts w:hint="eastAsia" w:asciiTheme="minorEastAsia" w:hAnsiTheme="minorEastAsia" w:eastAsiaTheme="minorEastAsia"/>
          <w:color w:val="auto"/>
          <w:sz w:val="24"/>
          <w:highlight w:val="none"/>
        </w:rPr>
        <w:t>或投标截止时间后送达的投标文件，应当拒收。</w:t>
      </w:r>
    </w:p>
    <w:p w14:paraId="32D3E7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6D371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1C1554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D3814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5DB7EE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63C1F03C">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C5CA9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9F128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5E141785">
      <w:pPr>
        <w:spacing w:line="360" w:lineRule="auto"/>
        <w:ind w:firstLine="435"/>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268DA3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7F0E388">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26A2A149">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0CD8102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1DC5A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590EC2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704A73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7902E3A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162710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74FD18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4BB95F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482D78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2BAFE5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CB34F8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B9C8F9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5BBD55E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4B7206E">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443C54A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FC515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052E57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B85B7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431881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14F93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42430C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DFDAB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EC507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2DF4D35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5CECFDC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DCD60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74B720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82448E9">
      <w:pPr>
        <w:spacing w:line="360" w:lineRule="auto"/>
        <w:ind w:firstLine="435"/>
        <w:rPr>
          <w:rFonts w:ascii="宋体" w:hAnsi="宋体" w:eastAsia="宋体"/>
          <w:b/>
          <w:bCs/>
          <w:color w:val="auto"/>
          <w:sz w:val="24"/>
          <w:highlight w:val="none"/>
        </w:rPr>
      </w:pPr>
      <w:r>
        <w:rPr>
          <w:rFonts w:hint="eastAsia" w:asciiTheme="minorEastAsia" w:hAnsiTheme="minorEastAsia" w:eastAsiaTheme="minorEastAsia"/>
          <w:b/>
          <w:bCs/>
          <w:color w:val="auto"/>
          <w:sz w:val="24"/>
          <w:highlight w:val="none"/>
        </w:rPr>
        <w:t>（</w:t>
      </w:r>
      <w:r>
        <w:rPr>
          <w:rFonts w:hint="eastAsia" w:ascii="宋体" w:hAnsi="宋体" w:eastAsia="宋体"/>
          <w:b/>
          <w:bCs/>
          <w:color w:val="auto"/>
          <w:sz w:val="24"/>
          <w:highlight w:val="none"/>
        </w:rPr>
        <w:t>1）最低评标价法，是指</w:t>
      </w:r>
      <w:r>
        <w:rPr>
          <w:rFonts w:ascii="宋体" w:hAnsi="宋体" w:eastAsia="宋体"/>
          <w:b/>
          <w:bCs/>
          <w:color w:val="auto"/>
          <w:sz w:val="24"/>
          <w:highlight w:val="none"/>
        </w:rPr>
        <w:t>投标文件满足招标文件全部实质性要求</w:t>
      </w:r>
      <w:r>
        <w:rPr>
          <w:rFonts w:hint="eastAsia" w:ascii="宋体" w:hAnsi="宋体" w:eastAsia="宋体"/>
          <w:b/>
          <w:bCs/>
          <w:color w:val="auto"/>
          <w:sz w:val="24"/>
          <w:highlight w:val="none"/>
        </w:rPr>
        <w:t>，</w:t>
      </w:r>
      <w:r>
        <w:rPr>
          <w:rFonts w:ascii="宋体" w:hAnsi="宋体" w:eastAsia="宋体"/>
          <w:b/>
          <w:bCs/>
          <w:color w:val="auto"/>
          <w:sz w:val="24"/>
          <w:highlight w:val="none"/>
        </w:rPr>
        <w:t>且投标报价最低的</w:t>
      </w:r>
      <w:r>
        <w:rPr>
          <w:rFonts w:hint="eastAsia" w:ascii="宋体" w:hAnsi="宋体" w:eastAsia="宋体"/>
          <w:b/>
          <w:bCs/>
          <w:color w:val="auto"/>
          <w:sz w:val="24"/>
          <w:highlight w:val="none"/>
        </w:rPr>
        <w:t>投标人</w:t>
      </w:r>
      <w:r>
        <w:rPr>
          <w:rFonts w:ascii="宋体" w:hAnsi="宋体" w:eastAsia="宋体"/>
          <w:b/>
          <w:bCs/>
          <w:color w:val="auto"/>
          <w:sz w:val="24"/>
          <w:highlight w:val="none"/>
        </w:rPr>
        <w:t>为中标</w:t>
      </w:r>
      <w:r>
        <w:rPr>
          <w:rFonts w:hint="eastAsia" w:ascii="宋体" w:hAnsi="宋体" w:eastAsia="宋体"/>
          <w:b/>
          <w:bCs/>
          <w:color w:val="auto"/>
          <w:sz w:val="24"/>
          <w:highlight w:val="none"/>
        </w:rPr>
        <w:t>候选</w:t>
      </w:r>
      <w:r>
        <w:rPr>
          <w:rFonts w:ascii="宋体" w:hAnsi="宋体" w:eastAsia="宋体"/>
          <w:b/>
          <w:bCs/>
          <w:color w:val="auto"/>
          <w:sz w:val="24"/>
          <w:highlight w:val="none"/>
        </w:rPr>
        <w:t>人的评标方法</w:t>
      </w:r>
      <w:r>
        <w:rPr>
          <w:rFonts w:hint="eastAsia" w:ascii="宋体" w:hAnsi="宋体" w:eastAsia="宋体"/>
          <w:b/>
          <w:bCs/>
          <w:color w:val="auto"/>
          <w:sz w:val="24"/>
          <w:highlight w:val="none"/>
        </w:rPr>
        <w:t>。</w:t>
      </w:r>
    </w:p>
    <w:p w14:paraId="0A17FEF0">
      <w:pPr>
        <w:spacing w:line="360" w:lineRule="auto"/>
        <w:ind w:firstLine="435"/>
        <w:rPr>
          <w:rFonts w:ascii="宋体" w:hAnsi="宋体" w:eastAsia="宋体"/>
          <w:b w:val="0"/>
          <w:bCs w:val="0"/>
          <w:color w:val="auto"/>
          <w:sz w:val="24"/>
          <w:highlight w:val="none"/>
        </w:rPr>
      </w:pPr>
      <w:r>
        <w:rPr>
          <w:rFonts w:hint="eastAsia" w:ascii="宋体" w:hAnsi="宋体" w:eastAsia="宋体"/>
          <w:b w:val="0"/>
          <w:bCs w:val="0"/>
          <w:color w:val="auto"/>
          <w:sz w:val="24"/>
          <w:highlight w:val="none"/>
        </w:rPr>
        <w:t>（2）综合评分法，是</w:t>
      </w:r>
      <w:r>
        <w:rPr>
          <w:rFonts w:ascii="宋体" w:hAnsi="宋体" w:eastAsia="宋体"/>
          <w:b w:val="0"/>
          <w:bCs w:val="0"/>
          <w:color w:val="auto"/>
          <w:sz w:val="24"/>
          <w:highlight w:val="none"/>
        </w:rPr>
        <w:t>指投标文件满足招标</w:t>
      </w:r>
      <w:r>
        <w:rPr>
          <w:rFonts w:hint="eastAsia" w:ascii="宋体" w:hAnsi="宋体" w:eastAsia="宋体"/>
          <w:b w:val="0"/>
          <w:bCs w:val="0"/>
          <w:color w:val="auto"/>
          <w:sz w:val="24"/>
          <w:highlight w:val="none"/>
        </w:rPr>
        <w:t>文件</w:t>
      </w:r>
      <w:r>
        <w:rPr>
          <w:rFonts w:ascii="宋体" w:hAnsi="宋体" w:eastAsia="宋体"/>
          <w:b w:val="0"/>
          <w:bCs w:val="0"/>
          <w:color w:val="auto"/>
          <w:sz w:val="24"/>
          <w:highlight w:val="none"/>
        </w:rPr>
        <w:t>全部实质性要求</w:t>
      </w:r>
      <w:r>
        <w:rPr>
          <w:rFonts w:hint="eastAsia" w:ascii="宋体" w:hAnsi="宋体" w:eastAsia="宋体"/>
          <w:b w:val="0"/>
          <w:bCs w:val="0"/>
          <w:color w:val="auto"/>
          <w:sz w:val="24"/>
          <w:highlight w:val="none"/>
        </w:rPr>
        <w:t>，</w:t>
      </w:r>
      <w:r>
        <w:rPr>
          <w:rFonts w:ascii="宋体" w:hAnsi="宋体" w:eastAsia="宋体"/>
          <w:b w:val="0"/>
          <w:bCs w:val="0"/>
          <w:color w:val="auto"/>
          <w:sz w:val="24"/>
          <w:highlight w:val="none"/>
        </w:rPr>
        <w:t>且按照评审因素的</w:t>
      </w:r>
      <w:r>
        <w:rPr>
          <w:rFonts w:hint="eastAsia" w:ascii="宋体" w:hAnsi="宋体" w:eastAsia="宋体"/>
          <w:b w:val="0"/>
          <w:bCs w:val="0"/>
          <w:color w:val="auto"/>
          <w:sz w:val="24"/>
          <w:highlight w:val="none"/>
        </w:rPr>
        <w:t>量化</w:t>
      </w:r>
      <w:r>
        <w:rPr>
          <w:rFonts w:ascii="宋体" w:hAnsi="宋体" w:eastAsia="宋体"/>
          <w:b w:val="0"/>
          <w:bCs w:val="0"/>
          <w:color w:val="auto"/>
          <w:sz w:val="24"/>
          <w:highlight w:val="none"/>
        </w:rPr>
        <w:t>指标评审得分最高的</w:t>
      </w:r>
      <w:r>
        <w:rPr>
          <w:rFonts w:hint="eastAsia" w:ascii="宋体" w:hAnsi="宋体" w:eastAsia="宋体"/>
          <w:b w:val="0"/>
          <w:bCs w:val="0"/>
          <w:color w:val="auto"/>
          <w:sz w:val="24"/>
          <w:highlight w:val="none"/>
        </w:rPr>
        <w:t>投标人</w:t>
      </w:r>
      <w:r>
        <w:rPr>
          <w:rFonts w:ascii="宋体" w:hAnsi="宋体" w:eastAsia="宋体"/>
          <w:b w:val="0"/>
          <w:bCs w:val="0"/>
          <w:color w:val="auto"/>
          <w:sz w:val="24"/>
          <w:highlight w:val="none"/>
        </w:rPr>
        <w:t>为中标候选人的评标方法。</w:t>
      </w:r>
    </w:p>
    <w:p w14:paraId="2BCB6F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5E3845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4FACDA4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589642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742035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42C7DC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0385481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.2本单位限额以下采用公开招标的项目，投标截止后投标人不足3家或者通过资格审查或符合性审查的投标人不足3家的，除采购任务取消情形外，按照以下方式处理：</w:t>
      </w:r>
    </w:p>
    <w:p w14:paraId="697957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（1）招标文件存在不合理条款或者招标程序不符合规定的，采购人、采购代理机构改正后依规重新招标；</w:t>
      </w:r>
    </w:p>
    <w:p w14:paraId="37B9AF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（2）招标文件没有不合理条款、招标程序符合规定，招标过程中经过二次挂网提交投标文件或者经评审实质性响应招标文件要求的供应商只有两家时，可转为竞争性谈判（符合本条情形的供应商最</w:t>
      </w:r>
      <w:bookmarkStart w:id="221" w:name="_GoBack"/>
      <w:bookmarkEnd w:id="221"/>
      <w:r>
        <w:rPr>
          <w:rFonts w:hint="eastAsia" w:asciiTheme="minorEastAsia" w:hAnsiTheme="minorEastAsia" w:eastAsiaTheme="minorEastAsia"/>
          <w:color w:val="auto"/>
          <w:sz w:val="24"/>
          <w:highlight w:val="none"/>
        </w:rPr>
        <w:t>低数量可以为两家）。</w:t>
      </w:r>
    </w:p>
    <w:p w14:paraId="1D64258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64141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7F90A0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EEE504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260EAD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7D036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35E1983A">
      <w:pPr>
        <w:spacing w:line="360" w:lineRule="auto"/>
        <w:ind w:firstLine="435"/>
        <w:rPr>
          <w:rFonts w:hint="default" w:eastAsiaTheme="minorEastAsia"/>
          <w:highlight w:val="none"/>
          <w:lang w:val="en-US"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2DD3F22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1102386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002DD2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737BC3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11E5D6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60424A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14353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4FB07D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785771F">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w:t>
      </w:r>
      <w:r>
        <w:rPr>
          <w:rFonts w:hint="eastAsia" w:ascii="宋体" w:hAnsi="宋体" w:eastAsia="宋体"/>
          <w:color w:val="auto"/>
          <w:sz w:val="24"/>
          <w:szCs w:val="18"/>
          <w:highlight w:val="none"/>
          <w:lang w:eastAsia="zh-CN"/>
        </w:rPr>
        <w:t>滁州市第一人民医院官网</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lang w:eastAsia="zh-CN"/>
        </w:rPr>
        <w:t>http://www.czdyrmyy.com/</w:t>
      </w:r>
      <w:r>
        <w:rPr>
          <w:rFonts w:hint="eastAsia" w:ascii="宋体" w:hAnsi="宋体" w:eastAsia="宋体"/>
          <w:color w:val="auto"/>
          <w:sz w:val="24"/>
          <w:szCs w:val="18"/>
          <w:highlight w:val="none"/>
        </w:rPr>
        <w:t>）上发布中标结果公告。</w:t>
      </w:r>
    </w:p>
    <w:p w14:paraId="5A076E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62A71A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4980D1B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5E8E76E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03D7E59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0D8AE1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DDD81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2643B292">
      <w:pPr>
        <w:spacing w:line="360" w:lineRule="auto"/>
        <w:ind w:firstLine="437"/>
        <w:outlineLvl w:val="2"/>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不要求</w:t>
      </w:r>
      <w:r>
        <w:rPr>
          <w:rFonts w:hint="eastAsia" w:asciiTheme="minorEastAsia" w:hAnsiTheme="minorEastAsia" w:eastAsiaTheme="minorEastAsia"/>
          <w:b/>
          <w:color w:val="auto"/>
          <w:sz w:val="24"/>
          <w:highlight w:val="none"/>
          <w:lang w:eastAsia="zh-CN"/>
        </w:rPr>
        <w:t>）</w:t>
      </w:r>
    </w:p>
    <w:p w14:paraId="225C58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70B082C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0EEC289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1EAC3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19ECE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119BA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3E4E0B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19C5CA12">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301FB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3079CE2">
      <w:pPr>
        <w:spacing w:line="360" w:lineRule="auto"/>
        <w:ind w:firstLine="437"/>
        <w:outlineLvl w:val="2"/>
        <w:rPr>
          <w:rFonts w:asciiTheme="minorEastAsia" w:hAnsiTheme="minorEastAsia" w:eastAsiaTheme="minorEastAsia"/>
          <w:b/>
          <w:color w:val="auto"/>
          <w:sz w:val="24"/>
          <w:highlight w:val="none"/>
        </w:rPr>
      </w:pPr>
      <w:bookmarkStart w:id="26" w:name="_Toc2583661"/>
      <w:bookmarkStart w:id="27"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6"/>
      <w:bookmarkEnd w:id="27"/>
    </w:p>
    <w:p w14:paraId="6D586A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7AE25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5A5AAA78">
      <w:pPr>
        <w:spacing w:line="360" w:lineRule="auto"/>
        <w:ind w:firstLine="437"/>
        <w:outlineLvl w:val="2"/>
        <w:rPr>
          <w:rFonts w:asciiTheme="minorEastAsia" w:hAnsiTheme="minorEastAsia" w:eastAsiaTheme="minorEastAsia"/>
          <w:b/>
          <w:color w:val="auto"/>
          <w:sz w:val="24"/>
          <w:highlight w:val="none"/>
        </w:rPr>
      </w:pPr>
      <w:bookmarkStart w:id="28" w:name="_Toc2583662"/>
      <w:bookmarkStart w:id="29"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8"/>
      <w:bookmarkEnd w:id="29"/>
    </w:p>
    <w:p w14:paraId="1ECAFE80">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2A7A5C3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5FF62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76444A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9519B6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D8901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3A0EC6BD">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63BEB8E">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37734839">
      <w:pPr>
        <w:spacing w:line="360" w:lineRule="auto"/>
        <w:jc w:val="center"/>
        <w:outlineLvl w:val="0"/>
        <w:rPr>
          <w:rFonts w:hint="eastAsia" w:ascii="宋体" w:hAnsi="宋体" w:eastAsia="宋体"/>
          <w:b/>
          <w:color w:val="auto"/>
          <w:sz w:val="28"/>
          <w:highlight w:val="none"/>
          <w:lang w:eastAsia="zh-CN"/>
        </w:rPr>
      </w:pPr>
      <w:bookmarkStart w:id="30" w:name="_Toc10891"/>
      <w:r>
        <w:rPr>
          <w:rFonts w:hint="eastAsia" w:ascii="宋体" w:hAnsi="宋体" w:eastAsia="宋体"/>
          <w:b/>
          <w:color w:val="auto"/>
          <w:sz w:val="28"/>
          <w:highlight w:val="none"/>
        </w:rPr>
        <w:t>第三章  采购需求</w:t>
      </w:r>
      <w:bookmarkEnd w:id="30"/>
    </w:p>
    <w:p w14:paraId="15279D28">
      <w:pPr>
        <w:spacing w:line="360" w:lineRule="auto"/>
        <w:outlineLvl w:val="1"/>
        <w:rPr>
          <w:rFonts w:hint="eastAsia" w:ascii="宋体" w:hAnsi="宋体" w:eastAsia="宋体"/>
          <w:b/>
          <w:color w:val="auto"/>
          <w:sz w:val="24"/>
          <w:szCs w:val="18"/>
          <w:highlight w:val="none"/>
        </w:rPr>
      </w:pPr>
      <w:bookmarkStart w:id="31" w:name="_Toc32151"/>
      <w:bookmarkStart w:id="32" w:name="_Toc2554"/>
      <w:r>
        <w:rPr>
          <w:rFonts w:hint="eastAsia" w:ascii="宋体" w:hAnsi="宋体" w:eastAsia="宋体"/>
          <w:b/>
          <w:color w:val="auto"/>
          <w:sz w:val="24"/>
          <w:szCs w:val="18"/>
          <w:highlight w:val="none"/>
        </w:rPr>
        <w:t>一、采购需求前附表</w:t>
      </w:r>
      <w:bookmarkEnd w:id="31"/>
      <w:bookmarkEnd w:id="32"/>
    </w:p>
    <w:tbl>
      <w:tblPr>
        <w:tblStyle w:val="26"/>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2026"/>
        <w:gridCol w:w="6661"/>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 w:type="pct"/>
            <w:vAlign w:val="center"/>
          </w:tcPr>
          <w:p w14:paraId="1141F85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69" w:type="pct"/>
            <w:vAlign w:val="center"/>
          </w:tcPr>
          <w:p w14:paraId="4B62D8A3">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514" w:type="pct"/>
            <w:vAlign w:val="center"/>
          </w:tcPr>
          <w:p w14:paraId="579D528B">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16" w:type="pct"/>
            <w:vAlign w:val="center"/>
          </w:tcPr>
          <w:p w14:paraId="1385705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1069" w:type="pct"/>
            <w:vAlign w:val="center"/>
          </w:tcPr>
          <w:p w14:paraId="691B55C5">
            <w:pPr>
              <w:pStyle w:val="35"/>
              <w:keepNext w:val="0"/>
              <w:keepLines w:val="0"/>
              <w:widowControl w:val="0"/>
              <w:suppressLineNumbers w:val="0"/>
              <w:spacing w:before="0" w:beforeAutospacing="0" w:after="0" w:afterAutospacing="0" w:line="360" w:lineRule="auto"/>
              <w:ind w:left="0" w:right="0"/>
              <w:jc w:val="center"/>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付款方式</w:t>
            </w:r>
          </w:p>
        </w:tc>
        <w:tc>
          <w:tcPr>
            <w:tcW w:w="3514" w:type="pct"/>
            <w:vAlign w:val="center"/>
          </w:tcPr>
          <w:p w14:paraId="35D5B5BB">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每季度末由科室根据维保服务情况填写《维修保养满意度评价表》，满意度评价85分及以上（含85分），全额支付对应款项；满意度评价70-84分，支付对应季度款项的80%；满意度评价70分以下的，支付对应季度款项的60%且甲方有权选择终止合同。</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16" w:type="pct"/>
            <w:vAlign w:val="center"/>
          </w:tcPr>
          <w:p w14:paraId="5B133E1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69" w:type="pct"/>
            <w:vAlign w:val="center"/>
          </w:tcPr>
          <w:p w14:paraId="4A6FF69F">
            <w:pPr>
              <w:pStyle w:val="35"/>
              <w:keepNext w:val="0"/>
              <w:keepLines w:val="0"/>
              <w:widowControl w:val="0"/>
              <w:suppressLineNumbers w:val="0"/>
              <w:spacing w:before="0" w:beforeAutospacing="0" w:after="0" w:afterAutospacing="0" w:line="360" w:lineRule="auto"/>
              <w:ind w:left="0" w:right="0"/>
              <w:jc w:val="center"/>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514" w:type="pct"/>
            <w:vAlign w:val="center"/>
          </w:tcPr>
          <w:p w14:paraId="30E214EC">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color w:val="auto"/>
                <w:sz w:val="24"/>
                <w:highlight w:val="none"/>
                <w:u w:val="none"/>
                <w:lang w:val="en-US" w:eastAsia="zh-CN"/>
              </w:rPr>
              <w:t>采购人指定地点</w:t>
            </w:r>
            <w:r>
              <w:rPr>
                <w:rFonts w:hint="eastAsia" w:ascii="宋体" w:hAnsi="宋体" w:eastAsia="宋体"/>
                <w:b w:val="0"/>
                <w:color w:val="auto"/>
                <w:sz w:val="24"/>
                <w:highlight w:val="none"/>
                <w:u w:val="none"/>
              </w:rPr>
              <w:t xml:space="preserve"> </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5AEAD16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69" w:type="pct"/>
            <w:vAlign w:val="center"/>
          </w:tcPr>
          <w:p w14:paraId="2232AB66">
            <w:pPr>
              <w:pStyle w:val="35"/>
              <w:keepNext w:val="0"/>
              <w:keepLines w:val="0"/>
              <w:widowControl w:val="0"/>
              <w:suppressLineNumbers w:val="0"/>
              <w:spacing w:before="0" w:beforeAutospacing="0" w:after="0" w:afterAutospacing="0" w:line="360" w:lineRule="auto"/>
              <w:ind w:left="0" w:right="0"/>
              <w:jc w:val="center"/>
              <w:rPr>
                <w:rFonts w:hint="default" w:ascii="宋体" w:hAnsi="宋体" w:eastAsia="宋体"/>
                <w:b w:val="0"/>
                <w:color w:val="auto"/>
                <w:sz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期限</w:t>
            </w:r>
          </w:p>
        </w:tc>
        <w:tc>
          <w:tcPr>
            <w:tcW w:w="3514" w:type="pct"/>
            <w:vAlign w:val="center"/>
          </w:tcPr>
          <w:p w14:paraId="6967BE05">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三年（本项目服务期限暂定3年，合同一年一签，维保费用按季度支付。如医院原设备停用，医院可提前终止维保，当期费用按实际服务天数结算）</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16" w:type="pct"/>
            <w:vAlign w:val="center"/>
          </w:tcPr>
          <w:p w14:paraId="0807E96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4</w:t>
            </w:r>
          </w:p>
        </w:tc>
        <w:tc>
          <w:tcPr>
            <w:tcW w:w="1069" w:type="pct"/>
            <w:vAlign w:val="center"/>
          </w:tcPr>
          <w:p w14:paraId="4F73ABB5">
            <w:pPr>
              <w:pStyle w:val="35"/>
              <w:keepNext w:val="0"/>
              <w:keepLines w:val="0"/>
              <w:widowControl w:val="0"/>
              <w:suppressLineNumbers w:val="0"/>
              <w:spacing w:before="0" w:beforeAutospacing="0" w:after="0" w:afterAutospacing="0" w:line="360" w:lineRule="auto"/>
              <w:ind w:left="0" w:right="0"/>
              <w:jc w:val="center"/>
              <w:rPr>
                <w:rFonts w:hint="default"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514" w:type="pct"/>
            <w:vAlign w:val="center"/>
          </w:tcPr>
          <w:p w14:paraId="3D33EE7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w:t>
            </w:r>
          </w:p>
        </w:tc>
      </w:tr>
    </w:tbl>
    <w:p w14:paraId="2B70E99C">
      <w:pPr>
        <w:rPr>
          <w:rFonts w:hint="eastAsia" w:ascii="宋体" w:hAnsi="宋体" w:eastAsia="宋体" w:cs="宋体"/>
          <w:b/>
          <w:bCs w:val="0"/>
          <w:snapToGrid/>
          <w:kern w:val="0"/>
          <w:sz w:val="24"/>
          <w:szCs w:val="24"/>
          <w:highlight w:val="none"/>
          <w:lang w:val="en-US" w:eastAsia="zh-CN" w:bidi="ar"/>
        </w:rPr>
      </w:pPr>
      <w:bookmarkStart w:id="33" w:name="_Toc16417"/>
    </w:p>
    <w:p w14:paraId="1C77910A">
      <w:pPr>
        <w:rPr>
          <w:rFonts w:hint="eastAsia" w:ascii="方正仿宋_GB2312" w:hAnsi="方正仿宋_GB2312" w:eastAsia="方正仿宋_GB2312" w:cs="方正仿宋_GB2312"/>
          <w:b/>
          <w:bCs/>
          <w:sz w:val="32"/>
          <w:szCs w:val="32"/>
          <w:highlight w:val="none"/>
        </w:rPr>
      </w:pPr>
      <w:r>
        <w:rPr>
          <w:rFonts w:hint="eastAsia" w:ascii="宋体" w:hAnsi="宋体" w:eastAsia="宋体" w:cs="宋体"/>
          <w:b/>
          <w:bCs w:val="0"/>
          <w:snapToGrid/>
          <w:kern w:val="0"/>
          <w:sz w:val="24"/>
          <w:szCs w:val="24"/>
          <w:highlight w:val="none"/>
          <w:lang w:val="en-US" w:eastAsia="zh-CN" w:bidi="ar"/>
        </w:rPr>
        <w:t>二、服务内容列表：</w:t>
      </w:r>
    </w:p>
    <w:tbl>
      <w:tblPr>
        <w:tblStyle w:val="27"/>
        <w:tblW w:w="9465" w:type="dxa"/>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3015"/>
        <w:gridCol w:w="1445"/>
        <w:gridCol w:w="1935"/>
        <w:gridCol w:w="2235"/>
      </w:tblGrid>
      <w:tr w14:paraId="507B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35" w:type="dxa"/>
            <w:vAlign w:val="center"/>
          </w:tcPr>
          <w:p w14:paraId="4D0313D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4"/>
                <w:szCs w:val="24"/>
                <w:highlight w:val="none"/>
                <w:lang w:val="en-US" w:eastAsia="zh-CN"/>
              </w:rPr>
            </w:pPr>
            <w:r>
              <w:rPr>
                <w:rFonts w:hint="eastAsia" w:ascii="宋体" w:hAnsi="宋体" w:eastAsia="宋体" w:cs="宋体"/>
                <w:b/>
                <w:color w:val="auto"/>
                <w:sz w:val="24"/>
                <w:szCs w:val="24"/>
                <w:highlight w:val="none"/>
              </w:rPr>
              <w:t>序号</w:t>
            </w:r>
          </w:p>
        </w:tc>
        <w:tc>
          <w:tcPr>
            <w:tcW w:w="3015" w:type="dxa"/>
            <w:vAlign w:val="center"/>
          </w:tcPr>
          <w:p w14:paraId="2981CEC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名称</w:t>
            </w:r>
          </w:p>
        </w:tc>
        <w:tc>
          <w:tcPr>
            <w:tcW w:w="1445" w:type="dxa"/>
            <w:vAlign w:val="center"/>
          </w:tcPr>
          <w:p w14:paraId="4090B3B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服务期</w:t>
            </w:r>
          </w:p>
        </w:tc>
        <w:tc>
          <w:tcPr>
            <w:tcW w:w="1935" w:type="dxa"/>
            <w:vAlign w:val="center"/>
          </w:tcPr>
          <w:p w14:paraId="0CEC578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备注（或限价）</w:t>
            </w:r>
          </w:p>
        </w:tc>
        <w:tc>
          <w:tcPr>
            <w:tcW w:w="2235" w:type="dxa"/>
            <w:vAlign w:val="center"/>
          </w:tcPr>
          <w:p w14:paraId="4310125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维保开始时间</w:t>
            </w:r>
          </w:p>
        </w:tc>
      </w:tr>
      <w:tr w14:paraId="4D4B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35" w:type="dxa"/>
            <w:vAlign w:val="center"/>
          </w:tcPr>
          <w:p w14:paraId="23D9B56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015" w:type="dxa"/>
            <w:vAlign w:val="center"/>
          </w:tcPr>
          <w:p w14:paraId="0F4B87E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直线加速器维保项目</w:t>
            </w:r>
          </w:p>
        </w:tc>
        <w:tc>
          <w:tcPr>
            <w:tcW w:w="1445" w:type="dxa"/>
            <w:vAlign w:val="center"/>
          </w:tcPr>
          <w:p w14:paraId="7B81DD1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3年</w:t>
            </w:r>
          </w:p>
        </w:tc>
        <w:tc>
          <w:tcPr>
            <w:tcW w:w="1935" w:type="dxa"/>
            <w:vAlign w:val="center"/>
          </w:tcPr>
          <w:p w14:paraId="4F2F38B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48.8万元/年</w:t>
            </w:r>
          </w:p>
        </w:tc>
        <w:tc>
          <w:tcPr>
            <w:tcW w:w="2235" w:type="dxa"/>
            <w:vAlign w:val="center"/>
          </w:tcPr>
          <w:p w14:paraId="057DCAC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2026年10月13日</w:t>
            </w:r>
          </w:p>
        </w:tc>
      </w:tr>
    </w:tbl>
    <w:p w14:paraId="5F17A64A">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p>
    <w:p w14:paraId="5E4AC1A1">
      <w:pPr>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三、服务要求：</w:t>
      </w:r>
    </w:p>
    <w:p w14:paraId="08EE4D03">
      <w:pPr>
        <w:pStyle w:val="35"/>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西门子ONCOR直线加速器1台，要求提供3年“全保”保修服务，包含设备定期维护保养、更换包含加速管、速调管、射频源、RTT工作站等在内的所有备件及水冷机、Lantis网络系统、Pinnacle计划系统（软、硬件及网络），提供非功能性软件维护升级、维修服务所涉及的人工费用及交通差旅费。</w:t>
      </w:r>
    </w:p>
    <w:p w14:paraId="3A75FE7C">
      <w:pPr>
        <w:pStyle w:val="35"/>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2.投标人必须具备稳定的零备件供应渠道，保证所有零备件必须为经生产厂家检测合格的、未拆封备件。</w:t>
      </w:r>
      <w:r>
        <w:rPr>
          <w:rFonts w:hint="eastAsia" w:ascii="宋体" w:hAnsi="宋体" w:eastAsia="宋体"/>
          <w:b/>
          <w:bCs w:val="0"/>
          <w:color w:val="auto"/>
          <w:sz w:val="24"/>
          <w:highlight w:val="none"/>
          <w:lang w:val="en-US" w:eastAsia="zh-CN"/>
        </w:rPr>
        <w:t>（须提供承诺书，格式自拟）</w:t>
      </w:r>
    </w:p>
    <w:p w14:paraId="23C1C5CA">
      <w:pPr>
        <w:pStyle w:val="35"/>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3.至少配备1名维保设备的专业工程师，工程师投需要具备国家颁发的《大型医用设备(LA)上岗资质证书》。</w:t>
      </w:r>
    </w:p>
    <w:p w14:paraId="0BE6C602">
      <w:pPr>
        <w:pStyle w:val="35"/>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4.24小时*365天电话响应，报修电话即刻响应，现场维修响应时间≤12小时（节假日24小时内），零备件到场响应时间≤4小时。</w:t>
      </w:r>
    </w:p>
    <w:p w14:paraId="12249466">
      <w:pPr>
        <w:pStyle w:val="35"/>
        <w:keepNext w:val="0"/>
        <w:keepLines w:val="0"/>
        <w:widowControl w:val="0"/>
        <w:suppressLineNumbers w:val="0"/>
        <w:spacing w:before="0" w:beforeAutospacing="0" w:after="0" w:afterAutospacing="0" w:line="360" w:lineRule="auto"/>
        <w:ind w:right="0" w:firstLine="480" w:firstLineChars="20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5.每次维修后应提供一份维修报告，写明维修内容和更换零配件的名称和数量，由使用科室工作人员和设备科工程师签字确认后，交给设备科备案。</w:t>
      </w:r>
    </w:p>
    <w:p w14:paraId="06336B7A">
      <w:pPr>
        <w:pStyle w:val="35"/>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b/>
          <w:bCs w:val="0"/>
          <w:color w:val="auto"/>
          <w:sz w:val="24"/>
          <w:highlight w:val="none"/>
          <w:lang w:val="en-US" w:eastAsia="zh-CN"/>
        </w:rPr>
      </w:pPr>
      <w:r>
        <w:rPr>
          <w:rFonts w:hint="eastAsia" w:ascii="宋体" w:hAnsi="宋体" w:eastAsia="宋体"/>
          <w:b w:val="0"/>
          <w:color w:val="auto"/>
          <w:sz w:val="24"/>
          <w:highlight w:val="none"/>
          <w:lang w:val="en-US" w:eastAsia="zh-CN"/>
        </w:rPr>
        <w:t>6.维修公司必须在国内设有备件仓库，且从该仓库到我院北区的通行时间须在6小时车程内（此时间包含高铁、汽车等所有交通方式）。</w:t>
      </w:r>
      <w:r>
        <w:rPr>
          <w:rFonts w:hint="eastAsia" w:ascii="宋体" w:hAnsi="宋体" w:eastAsia="宋体"/>
          <w:b/>
          <w:bCs w:val="0"/>
          <w:color w:val="auto"/>
          <w:sz w:val="24"/>
          <w:highlight w:val="none"/>
          <w:lang w:val="en-US" w:eastAsia="zh-CN"/>
        </w:rPr>
        <w:t>（须提供相关证明材料，如租房合同或产权证明、导航预估时间截图或车票等）</w:t>
      </w:r>
    </w:p>
    <w:p w14:paraId="6A52EE26">
      <w:pPr>
        <w:pStyle w:val="35"/>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7.确保设备开机率达96%以上（按照全年365天计），即每年停机时间累计小于15天（不包含更换加速管的维修时间），每超过1天，合同顺延5天。</w:t>
      </w:r>
    </w:p>
    <w:p w14:paraId="0E43FB43">
      <w:pPr>
        <w:pStyle w:val="35"/>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8.每年为设备至少提供4次维护保养服务（第3、6、9、12个月），并做好记录（设备清洁、性能测试及校准、必要的机械或电气的检查，根据院方要求对设备的数据进行备份）。保证设备全部检测指标达到国家标准，保证设备能通过相关专业的检测。</w:t>
      </w:r>
    </w:p>
    <w:p w14:paraId="657A6F8B">
      <w:pPr>
        <w:pStyle w:val="35"/>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9.每年提供一次年度检测服务，并提供当年度的设备检测合格报告</w:t>
      </w:r>
      <w:r>
        <w:rPr>
          <w:rFonts w:hint="eastAsia" w:ascii="宋体" w:hAnsi="宋体" w:eastAsia="宋体"/>
          <w:b/>
          <w:bCs w:val="0"/>
          <w:color w:val="auto"/>
          <w:sz w:val="24"/>
          <w:highlight w:val="none"/>
          <w:lang w:val="en-US" w:eastAsia="zh-CN"/>
        </w:rPr>
        <w:t>（检验报告模板见附表，内容至少包含模板内容）</w:t>
      </w:r>
      <w:r>
        <w:rPr>
          <w:rFonts w:hint="eastAsia" w:ascii="宋体" w:hAnsi="宋体" w:eastAsia="宋体"/>
          <w:b w:val="0"/>
          <w:color w:val="auto"/>
          <w:sz w:val="24"/>
          <w:highlight w:val="none"/>
          <w:lang w:val="en-US" w:eastAsia="zh-CN"/>
        </w:rPr>
        <w:t>。若中标供应商不具备相应检测资质，可委托具有法定资质的第三方检测机构开展检测并出具报告。检测所涉及的全部费用（包括但不限于检测费、人工费、差旅费、报告出具费等）均已包含在维保服务费用总额中，我院不再另行支付任何费用。若检测结果不合格，中标供应商须在收到检测报告后</w:t>
      </w:r>
      <w:r>
        <w:rPr>
          <w:rFonts w:hint="eastAsia" w:ascii="宋体" w:hAnsi="宋体" w:eastAsia="宋体"/>
          <w:b/>
          <w:bCs w:val="0"/>
          <w:color w:val="auto"/>
          <w:sz w:val="24"/>
          <w:highlight w:val="none"/>
          <w:lang w:val="en-US" w:eastAsia="zh-CN"/>
        </w:rPr>
        <w:t>15个日历天</w:t>
      </w:r>
      <w:r>
        <w:rPr>
          <w:rFonts w:hint="eastAsia" w:ascii="宋体" w:hAnsi="宋体" w:eastAsia="宋体"/>
          <w:b w:val="0"/>
          <w:color w:val="auto"/>
          <w:sz w:val="24"/>
          <w:highlight w:val="none"/>
          <w:lang w:val="en-US" w:eastAsia="zh-CN"/>
        </w:rPr>
        <w:t>内完成整改，并重新进行检测，直至取得合格的检测报告为止，整改及复检所产生的一切费用亦由中标供应商承担，我院不再另行支付。</w:t>
      </w:r>
    </w:p>
    <w:p w14:paraId="1EBFD94C">
      <w:pPr>
        <w:spacing w:line="360" w:lineRule="auto"/>
        <w:jc w:val="center"/>
        <w:outlineLvl w:val="0"/>
        <w:rPr>
          <w:rFonts w:hint="eastAsia" w:ascii="宋体" w:hAnsi="宋体" w:eastAsia="宋体"/>
          <w:b/>
          <w:color w:val="auto"/>
          <w:sz w:val="28"/>
          <w:highlight w:val="none"/>
        </w:rPr>
      </w:pPr>
    </w:p>
    <w:p w14:paraId="1D09AE08">
      <w:pPr>
        <w:spacing w:line="360" w:lineRule="auto"/>
        <w:jc w:val="center"/>
        <w:outlineLvl w:val="0"/>
        <w:rPr>
          <w:rFonts w:hint="eastAsia" w:ascii="宋体" w:hAnsi="宋体" w:eastAsia="宋体"/>
          <w:b/>
          <w:color w:val="auto"/>
          <w:sz w:val="28"/>
          <w:highlight w:val="none"/>
        </w:rPr>
      </w:pPr>
    </w:p>
    <w:p w14:paraId="1C9BAB84">
      <w:pPr>
        <w:spacing w:line="360" w:lineRule="auto"/>
        <w:jc w:val="center"/>
        <w:outlineLvl w:val="0"/>
        <w:rPr>
          <w:rFonts w:hint="eastAsia" w:ascii="宋体" w:hAnsi="宋体" w:eastAsia="宋体"/>
          <w:b/>
          <w:color w:val="auto"/>
          <w:sz w:val="28"/>
          <w:highlight w:val="none"/>
        </w:rPr>
      </w:pPr>
    </w:p>
    <w:p w14:paraId="19290FDA">
      <w:pPr>
        <w:spacing w:line="360" w:lineRule="auto"/>
        <w:jc w:val="center"/>
        <w:outlineLvl w:val="0"/>
        <w:rPr>
          <w:rFonts w:hint="eastAsia" w:ascii="宋体" w:hAnsi="宋体" w:eastAsia="宋体"/>
          <w:b/>
          <w:color w:val="auto"/>
          <w:sz w:val="28"/>
          <w:highlight w:val="none"/>
        </w:rPr>
      </w:pPr>
    </w:p>
    <w:p w14:paraId="24586F96">
      <w:pPr>
        <w:spacing w:line="360" w:lineRule="auto"/>
        <w:jc w:val="center"/>
        <w:outlineLvl w:val="0"/>
        <w:rPr>
          <w:rFonts w:hint="eastAsia" w:ascii="宋体" w:hAnsi="宋体" w:eastAsia="宋体"/>
          <w:b/>
          <w:color w:val="auto"/>
          <w:sz w:val="28"/>
          <w:highlight w:val="none"/>
        </w:rPr>
      </w:pPr>
    </w:p>
    <w:p w14:paraId="27849161">
      <w:pPr>
        <w:spacing w:line="360" w:lineRule="auto"/>
        <w:jc w:val="center"/>
        <w:outlineLvl w:val="0"/>
        <w:rPr>
          <w:rFonts w:hint="eastAsia" w:ascii="宋体" w:hAnsi="宋体" w:eastAsia="宋体"/>
          <w:b/>
          <w:color w:val="auto"/>
          <w:sz w:val="28"/>
          <w:highlight w:val="none"/>
        </w:rPr>
      </w:pPr>
    </w:p>
    <w:p w14:paraId="66F71F63">
      <w:pPr>
        <w:spacing w:line="360" w:lineRule="auto"/>
        <w:jc w:val="center"/>
        <w:outlineLvl w:val="0"/>
        <w:rPr>
          <w:rFonts w:hint="eastAsia" w:ascii="宋体" w:hAnsi="宋体" w:eastAsia="宋体"/>
          <w:b/>
          <w:color w:val="auto"/>
          <w:sz w:val="28"/>
          <w:highlight w:val="none"/>
        </w:rPr>
      </w:pPr>
    </w:p>
    <w:p w14:paraId="4E045A28">
      <w:pPr>
        <w:spacing w:line="360" w:lineRule="auto"/>
        <w:jc w:val="center"/>
        <w:outlineLvl w:val="0"/>
        <w:rPr>
          <w:rFonts w:hint="eastAsia" w:ascii="宋体" w:hAnsi="宋体" w:eastAsia="宋体"/>
          <w:b/>
          <w:color w:val="auto"/>
          <w:sz w:val="28"/>
          <w:highlight w:val="none"/>
        </w:rPr>
      </w:pPr>
    </w:p>
    <w:p w14:paraId="51B98A8B">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第四章  评标方法和标准（最低评标价法）</w:t>
      </w:r>
      <w:bookmarkEnd w:id="33"/>
    </w:p>
    <w:p w14:paraId="354C7511">
      <w:pPr>
        <w:spacing w:line="360" w:lineRule="auto"/>
        <w:ind w:firstLine="437"/>
        <w:outlineLvl w:val="1"/>
        <w:rPr>
          <w:rFonts w:ascii="宋体" w:hAnsi="宋体" w:eastAsia="宋体"/>
          <w:b/>
          <w:color w:val="auto"/>
          <w:sz w:val="24"/>
          <w:highlight w:val="none"/>
        </w:rPr>
      </w:pPr>
      <w:bookmarkStart w:id="34" w:name="_Toc11823"/>
      <w:bookmarkStart w:id="35" w:name="_Toc1246"/>
      <w:r>
        <w:rPr>
          <w:rFonts w:hint="eastAsia" w:ascii="宋体" w:hAnsi="宋体" w:eastAsia="宋体"/>
          <w:b/>
          <w:color w:val="auto"/>
          <w:sz w:val="24"/>
          <w:highlight w:val="none"/>
        </w:rPr>
        <w:t>一、总则</w:t>
      </w:r>
      <w:bookmarkEnd w:id="34"/>
      <w:bookmarkEnd w:id="35"/>
    </w:p>
    <w:p w14:paraId="56513A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65B90AC">
      <w:pPr>
        <w:spacing w:line="360" w:lineRule="auto"/>
        <w:ind w:firstLine="437"/>
        <w:outlineLvl w:val="1"/>
        <w:rPr>
          <w:rFonts w:ascii="宋体" w:hAnsi="宋体" w:eastAsia="宋体"/>
          <w:b/>
          <w:color w:val="auto"/>
          <w:sz w:val="24"/>
          <w:highlight w:val="none"/>
        </w:rPr>
      </w:pPr>
      <w:bookmarkStart w:id="36" w:name="_Toc31871"/>
      <w:bookmarkStart w:id="37" w:name="_Toc13117"/>
      <w:r>
        <w:rPr>
          <w:rFonts w:hint="eastAsia" w:ascii="宋体" w:hAnsi="宋体" w:eastAsia="宋体"/>
          <w:b/>
          <w:color w:val="auto"/>
          <w:sz w:val="24"/>
          <w:highlight w:val="none"/>
        </w:rPr>
        <w:t>二、评标方法</w:t>
      </w:r>
      <w:bookmarkEnd w:id="36"/>
      <w:bookmarkEnd w:id="37"/>
    </w:p>
    <w:p w14:paraId="76F21AC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1743"/>
        <w:gridCol w:w="4549"/>
        <w:gridCol w:w="1917"/>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95" w:type="pct"/>
            <w:tcBorders>
              <w:bottom w:val="single" w:color="auto" w:sz="4" w:space="0"/>
            </w:tcBorders>
            <w:vAlign w:val="center"/>
          </w:tcPr>
          <w:p w14:paraId="2266B3EE">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96"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92"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15"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95"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rPr>
              <w:t>营业执照等证明文件</w:t>
            </w:r>
          </w:p>
        </w:tc>
        <w:tc>
          <w:tcPr>
            <w:tcW w:w="2596"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default" w:ascii="宋体" w:hAnsi="宋体" w:eastAsia="宋体" w:cs="方正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092" w:type="pct"/>
            <w:vAlign w:val="center"/>
          </w:tcPr>
          <w:p w14:paraId="07C2C43C">
            <w:pPr>
              <w:keepNext w:val="0"/>
              <w:keepLines w:val="0"/>
              <w:suppressLineNumbers w:val="0"/>
              <w:spacing w:before="0" w:beforeAutospacing="0" w:after="0" w:afterAutospacing="0" w:line="360" w:lineRule="auto"/>
              <w:ind w:left="0" w:right="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15"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95"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投标人资格声明书</w:t>
            </w:r>
          </w:p>
        </w:tc>
        <w:tc>
          <w:tcPr>
            <w:tcW w:w="2596"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92" w:type="pct"/>
            <w:vAlign w:val="center"/>
          </w:tcPr>
          <w:p w14:paraId="1049F806">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15"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95"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诚信履约承诺函</w:t>
            </w:r>
          </w:p>
        </w:tc>
        <w:tc>
          <w:tcPr>
            <w:tcW w:w="2596"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highlight w:val="none"/>
              </w:rPr>
              <w:t>提供符合招标文件要求的《诚信履约承诺函》。</w:t>
            </w:r>
          </w:p>
        </w:tc>
        <w:tc>
          <w:tcPr>
            <w:tcW w:w="1092" w:type="pct"/>
            <w:vAlign w:val="center"/>
          </w:tcPr>
          <w:p w14:paraId="08EC4899">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20"/>
                <w:highlight w:val="none"/>
              </w:rPr>
            </w:pPr>
            <w:r>
              <w:rPr>
                <w:rFonts w:hint="eastAsia" w:ascii="宋体" w:hAnsi="宋体" w:eastAsia="宋体"/>
                <w:sz w:val="24"/>
                <w:szCs w:val="18"/>
                <w:highlight w:val="none"/>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995" w:type="pct"/>
            <w:vAlign w:val="center"/>
          </w:tcPr>
          <w:p w14:paraId="387081C0">
            <w:pPr>
              <w:keepNext w:val="0"/>
              <w:keepLines w:val="0"/>
              <w:suppressLineNumbers w:val="0"/>
              <w:spacing w:before="0" w:beforeAutospacing="0" w:after="50" w:afterAutospacing="0" w:line="360" w:lineRule="auto"/>
              <w:ind w:left="0" w:right="-1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投标人信用记录</w:t>
            </w:r>
          </w:p>
        </w:tc>
        <w:tc>
          <w:tcPr>
            <w:tcW w:w="2596" w:type="pct"/>
            <w:vAlign w:val="center"/>
          </w:tcPr>
          <w:p w14:paraId="602F3CE0">
            <w:pPr>
              <w:keepNext w:val="0"/>
              <w:keepLines w:val="0"/>
              <w:suppressLineNumbers w:val="0"/>
              <w:spacing w:before="0" w:beforeAutospacing="0" w:after="50" w:afterAutospacing="0" w:line="360" w:lineRule="auto"/>
              <w:ind w:left="0" w:right="-10" w:rightChars="0"/>
              <w:jc w:val="left"/>
              <w:rPr>
                <w:rFonts w:hint="default"/>
                <w:szCs w:val="20"/>
                <w:highlight w:val="none"/>
              </w:rPr>
            </w:pPr>
            <w:r>
              <w:rPr>
                <w:rFonts w:hint="eastAsia" w:ascii="宋体" w:hAnsi="宋体" w:eastAsia="宋体" w:cs="宋体"/>
                <w:sz w:val="24"/>
                <w:szCs w:val="24"/>
                <w:highlight w:val="none"/>
                <w:lang w:val="zh-CN"/>
              </w:rPr>
              <w:t>投标人不得存在</w:t>
            </w:r>
            <w:r>
              <w:rPr>
                <w:rFonts w:hint="eastAsia" w:ascii="宋体" w:hAnsi="宋体" w:eastAsia="宋体" w:cs="宋体"/>
                <w:sz w:val="24"/>
                <w:szCs w:val="24"/>
                <w:highlight w:val="none"/>
              </w:rPr>
              <w:t>投标邀请信誉要求和</w:t>
            </w:r>
            <w:r>
              <w:rPr>
                <w:rFonts w:hint="eastAsia" w:ascii="宋体" w:hAnsi="宋体" w:eastAsia="宋体" w:cs="宋体"/>
                <w:sz w:val="24"/>
                <w:szCs w:val="24"/>
                <w:highlight w:val="none"/>
                <w:lang w:val="zh-CN"/>
              </w:rPr>
              <w:t>投标人须知正文</w:t>
            </w:r>
            <w:r>
              <w:rPr>
                <w:rFonts w:hint="eastAsia" w:ascii="宋体" w:hAnsi="宋体" w:eastAsia="宋体" w:cs="宋体"/>
                <w:sz w:val="24"/>
                <w:szCs w:val="24"/>
                <w:highlight w:val="none"/>
              </w:rPr>
              <w:t>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p>
        </w:tc>
        <w:tc>
          <w:tcPr>
            <w:tcW w:w="1092" w:type="pct"/>
            <w:vAlign w:val="center"/>
          </w:tcPr>
          <w:p w14:paraId="552D7307">
            <w:pPr>
              <w:keepNext w:val="0"/>
              <w:keepLines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auto"/>
                <w:kern w:val="2"/>
                <w:sz w:val="21"/>
                <w:szCs w:val="20"/>
                <w:highlight w:val="none"/>
                <w:lang w:val="en-US" w:eastAsia="zh-CN" w:bidi="ar-SA"/>
              </w:rPr>
            </w:pPr>
            <w:r>
              <w:rPr>
                <w:rFonts w:hint="eastAsia" w:ascii="宋体" w:hAnsi="宋体" w:eastAsia="宋体" w:cs="宋体"/>
                <w:sz w:val="24"/>
                <w:szCs w:val="24"/>
                <w:highlight w:val="none"/>
              </w:rPr>
              <w:t>无须投标人提供，由采购人或采购代理机构查询。</w:t>
            </w:r>
          </w:p>
        </w:tc>
      </w:tr>
      <w:tr w14:paraId="7277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vAlign w:val="center"/>
          </w:tcPr>
          <w:p w14:paraId="73509D1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1743" w:type="dxa"/>
            <w:vAlign w:val="center"/>
          </w:tcPr>
          <w:p w14:paraId="7A7118FB">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其他特定资格要求</w:t>
            </w:r>
          </w:p>
        </w:tc>
        <w:tc>
          <w:tcPr>
            <w:tcW w:w="4549" w:type="dxa"/>
            <w:vAlign w:val="center"/>
          </w:tcPr>
          <w:p w14:paraId="29B6DBC7">
            <w:pPr>
              <w:keepNext w:val="0"/>
              <w:keepLines w:val="0"/>
              <w:suppressLineNumbers w:val="0"/>
              <w:spacing w:before="0" w:beforeAutospacing="0" w:after="50" w:afterAutospacing="0" w:line="360" w:lineRule="auto"/>
              <w:ind w:left="0" w:right="-10" w:rightChars="0"/>
              <w:jc w:val="both"/>
              <w:rPr>
                <w:rFonts w:hint="default" w:ascii="宋体" w:hAnsi="宋体" w:eastAsia="宋体" w:cs="宋体"/>
                <w:sz w:val="24"/>
                <w:szCs w:val="24"/>
                <w:highlight w:val="none"/>
                <w:lang w:val="en-US" w:eastAsia="zh-CN"/>
              </w:rPr>
            </w:pPr>
            <w:r>
              <w:rPr>
                <w:rFonts w:hint="default" w:ascii="宋体" w:hAnsi="宋体" w:eastAsia="宋体" w:cs="宋体"/>
                <w:spacing w:val="10"/>
                <w:sz w:val="24"/>
                <w:szCs w:val="24"/>
                <w:highlight w:val="none"/>
              </w:rPr>
              <w:t>见第一章《投标邀请》</w:t>
            </w:r>
          </w:p>
        </w:tc>
        <w:tc>
          <w:tcPr>
            <w:tcW w:w="1917" w:type="dxa"/>
            <w:vAlign w:val="center"/>
          </w:tcPr>
          <w:p w14:paraId="73CBBECA">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79161F1">
      <w:pPr>
        <w:spacing w:line="360" w:lineRule="auto"/>
        <w:ind w:firstLine="435"/>
        <w:rPr>
          <w:rFonts w:hint="eastAsia"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014E8955">
      <w:pPr>
        <w:spacing w:line="360" w:lineRule="auto"/>
        <w:ind w:firstLine="437"/>
        <w:outlineLvl w:val="2"/>
        <w:rPr>
          <w:rFonts w:hint="eastAsia" w:ascii="宋体" w:hAnsi="宋体" w:eastAsia="宋体"/>
          <w:color w:val="auto"/>
          <w:sz w:val="24"/>
          <w:highlight w:val="none"/>
        </w:rPr>
      </w:pPr>
    </w:p>
    <w:p w14:paraId="62B78BD9">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0A00D8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677C5544">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242" w:type="pct"/>
            <w:vAlign w:val="center"/>
          </w:tcPr>
          <w:p w14:paraId="1E0B336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835" w:type="pct"/>
            <w:vAlign w:val="center"/>
          </w:tcPr>
          <w:p w14:paraId="356BE6B3">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472"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242" w:type="pct"/>
            <w:vAlign w:val="center"/>
          </w:tcPr>
          <w:p w14:paraId="023E6DC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835"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242" w:type="pct"/>
            <w:vAlign w:val="center"/>
          </w:tcPr>
          <w:p w14:paraId="03D01FD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835"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242" w:type="pct"/>
            <w:vAlign w:val="center"/>
          </w:tcPr>
          <w:p w14:paraId="1D19245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835" w:type="pct"/>
            <w:vAlign w:val="center"/>
          </w:tcPr>
          <w:p w14:paraId="18C8909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472"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242" w:type="pct"/>
            <w:vAlign w:val="center"/>
          </w:tcPr>
          <w:p w14:paraId="4C332C7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430" w:type="dxa"/>
            <w:vAlign w:val="center"/>
          </w:tcPr>
          <w:p w14:paraId="2E789DDD">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472"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242" w:type="pct"/>
            <w:vAlign w:val="center"/>
          </w:tcPr>
          <w:p w14:paraId="6F97E32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3430" w:type="dxa"/>
            <w:vAlign w:val="center"/>
          </w:tcPr>
          <w:p w14:paraId="6FCF4EBC">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472"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242" w:type="pct"/>
            <w:vAlign w:val="center"/>
          </w:tcPr>
          <w:p w14:paraId="533E649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430" w:type="dxa"/>
            <w:vAlign w:val="center"/>
          </w:tcPr>
          <w:p w14:paraId="197A65A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472"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35FC1BA2">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25BC065C">
      <w:pPr>
        <w:spacing w:line="360" w:lineRule="auto"/>
        <w:jc w:val="center"/>
        <w:outlineLvl w:val="0"/>
        <w:rPr>
          <w:rFonts w:hint="eastAsia" w:ascii="宋体" w:hAnsi="宋体" w:eastAsia="宋体"/>
          <w:b/>
          <w:color w:val="auto"/>
          <w:sz w:val="28"/>
          <w:highlight w:val="none"/>
        </w:rPr>
      </w:pPr>
      <w:bookmarkStart w:id="38" w:name="_Toc4682"/>
    </w:p>
    <w:p w14:paraId="1554FDE3">
      <w:pPr>
        <w:pStyle w:val="32"/>
        <w:rPr>
          <w:rFonts w:hint="eastAsia"/>
          <w:highlight w:val="none"/>
        </w:rPr>
      </w:pPr>
    </w:p>
    <w:p w14:paraId="35A1C517">
      <w:pPr>
        <w:pStyle w:val="32"/>
        <w:rPr>
          <w:rFonts w:hint="eastAsia"/>
          <w:highlight w:val="none"/>
        </w:rPr>
      </w:pPr>
    </w:p>
    <w:p w14:paraId="5BBFFCD6">
      <w:pPr>
        <w:pStyle w:val="32"/>
        <w:rPr>
          <w:rFonts w:hint="eastAsia"/>
          <w:highlight w:val="none"/>
        </w:rPr>
      </w:pPr>
    </w:p>
    <w:p w14:paraId="7910B4EC">
      <w:pPr>
        <w:pStyle w:val="32"/>
        <w:rPr>
          <w:rFonts w:hint="eastAsia"/>
          <w:highlight w:val="none"/>
        </w:rPr>
      </w:pPr>
    </w:p>
    <w:p w14:paraId="436E2329">
      <w:pPr>
        <w:pStyle w:val="32"/>
        <w:rPr>
          <w:rFonts w:hint="eastAsia"/>
          <w:highlight w:val="none"/>
        </w:rPr>
      </w:pPr>
    </w:p>
    <w:p w14:paraId="7DF5C790">
      <w:pPr>
        <w:pStyle w:val="32"/>
        <w:rPr>
          <w:rFonts w:hint="eastAsia"/>
          <w:highlight w:val="none"/>
        </w:rPr>
      </w:pPr>
    </w:p>
    <w:p w14:paraId="298FE62F">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8"/>
    </w:p>
    <w:p w14:paraId="486FDE04">
      <w:pPr>
        <w:spacing w:line="360" w:lineRule="auto"/>
        <w:jc w:val="center"/>
        <w:outlineLvl w:val="0"/>
        <w:rPr>
          <w:rFonts w:hint="eastAsia" w:ascii="宋体" w:hAnsi="宋体" w:eastAsia="宋体"/>
          <w:b/>
          <w:color w:val="auto"/>
          <w:sz w:val="28"/>
          <w:highlight w:val="none"/>
        </w:rPr>
      </w:pPr>
      <w:bookmarkStart w:id="39" w:name="_Toc20313"/>
      <w:r>
        <w:rPr>
          <w:rFonts w:hint="eastAsia" w:ascii="宋体" w:hAnsi="宋体" w:eastAsia="宋体"/>
          <w:b/>
          <w:color w:val="auto"/>
          <w:sz w:val="28"/>
          <w:highlight w:val="none"/>
        </w:rPr>
        <w:t>(此格式</w:t>
      </w:r>
      <w:r>
        <w:rPr>
          <w:rFonts w:hint="eastAsia" w:ascii="宋体" w:hAnsi="宋体" w:eastAsia="宋体"/>
          <w:b/>
          <w:color w:val="auto"/>
          <w:sz w:val="28"/>
          <w:highlight w:val="none"/>
          <w:lang w:val="en-US" w:eastAsia="zh-CN"/>
        </w:rPr>
        <w:t>合同</w:t>
      </w:r>
      <w:r>
        <w:rPr>
          <w:rFonts w:hint="eastAsia" w:ascii="宋体" w:hAnsi="宋体" w:eastAsia="宋体"/>
          <w:b/>
          <w:color w:val="auto"/>
          <w:sz w:val="28"/>
          <w:highlight w:val="none"/>
        </w:rPr>
        <w:t>仅供参考)</w:t>
      </w:r>
    </w:p>
    <w:p w14:paraId="68C9B47B">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52680146">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D7751E1">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54E019C7">
      <w:pPr>
        <w:pStyle w:val="9"/>
        <w:rPr>
          <w:rFonts w:hint="eastAsia"/>
          <w:color w:val="000000" w:themeColor="text1"/>
          <w:highlight w:val="none"/>
          <w14:textFill>
            <w14:solidFill>
              <w14:schemeClr w14:val="tx1"/>
            </w14:solidFill>
          </w14:textFill>
        </w:rPr>
      </w:pPr>
    </w:p>
    <w:p w14:paraId="35CCF7AF">
      <w:pPr>
        <w:rPr>
          <w:rFonts w:hint="eastAsia"/>
          <w:color w:val="000000" w:themeColor="text1"/>
          <w:highlight w:val="none"/>
          <w14:textFill>
            <w14:solidFill>
              <w14:schemeClr w14:val="tx1"/>
            </w14:solidFill>
          </w14:textFill>
        </w:rPr>
      </w:pPr>
    </w:p>
    <w:p w14:paraId="6A3047AD">
      <w:pPr>
        <w:pStyle w:val="32"/>
        <w:rPr>
          <w:rFonts w:hint="eastAsia"/>
          <w:color w:val="000000" w:themeColor="text1"/>
          <w:highlight w:val="none"/>
          <w14:textFill>
            <w14:solidFill>
              <w14:schemeClr w14:val="tx1"/>
            </w14:solidFill>
          </w14:textFill>
        </w:rPr>
      </w:pPr>
    </w:p>
    <w:p w14:paraId="334B7189">
      <w:pPr>
        <w:pStyle w:val="32"/>
        <w:rPr>
          <w:rFonts w:hint="eastAsia"/>
          <w:color w:val="000000" w:themeColor="text1"/>
          <w:highlight w:val="none"/>
          <w14:textFill>
            <w14:solidFill>
              <w14:schemeClr w14:val="tx1"/>
            </w14:solidFill>
          </w14:textFill>
        </w:rPr>
      </w:pPr>
    </w:p>
    <w:p w14:paraId="057E633E">
      <w:pPr>
        <w:pStyle w:val="32"/>
        <w:rPr>
          <w:rFonts w:hint="eastAsia"/>
          <w:color w:val="000000" w:themeColor="text1"/>
          <w:highlight w:val="none"/>
          <w14:textFill>
            <w14:solidFill>
              <w14:schemeClr w14:val="tx1"/>
            </w14:solidFill>
          </w14:textFill>
        </w:rPr>
      </w:pPr>
    </w:p>
    <w:p w14:paraId="7E967140">
      <w:pPr>
        <w:pStyle w:val="32"/>
        <w:rPr>
          <w:rFonts w:hint="eastAsia"/>
          <w:color w:val="000000" w:themeColor="text1"/>
          <w:highlight w:val="none"/>
          <w14:textFill>
            <w14:solidFill>
              <w14:schemeClr w14:val="tx1"/>
            </w14:solidFill>
          </w14:textFill>
        </w:rPr>
      </w:pPr>
    </w:p>
    <w:p w14:paraId="09185692">
      <w:pPr>
        <w:pStyle w:val="32"/>
        <w:rPr>
          <w:rFonts w:hint="eastAsia"/>
          <w:color w:val="000000" w:themeColor="text1"/>
          <w:highlight w:val="none"/>
          <w14:textFill>
            <w14:solidFill>
              <w14:schemeClr w14:val="tx1"/>
            </w14:solidFill>
          </w14:textFill>
        </w:rPr>
      </w:pPr>
    </w:p>
    <w:p w14:paraId="42A27045">
      <w:pPr>
        <w:pStyle w:val="32"/>
        <w:rPr>
          <w:rFonts w:hint="eastAsia"/>
          <w:color w:val="000000" w:themeColor="text1"/>
          <w:highlight w:val="none"/>
          <w14:textFill>
            <w14:solidFill>
              <w14:schemeClr w14:val="tx1"/>
            </w14:solidFill>
          </w14:textFill>
        </w:rPr>
      </w:pPr>
    </w:p>
    <w:p w14:paraId="7E7A3F51">
      <w:pPr>
        <w:pStyle w:val="32"/>
        <w:rPr>
          <w:rFonts w:hint="eastAsia"/>
          <w:color w:val="000000" w:themeColor="text1"/>
          <w:highlight w:val="none"/>
          <w14:textFill>
            <w14:solidFill>
              <w14:schemeClr w14:val="tx1"/>
            </w14:solidFill>
          </w14:textFill>
        </w:rPr>
      </w:pPr>
    </w:p>
    <w:p w14:paraId="6A734DD2">
      <w:pPr>
        <w:pStyle w:val="32"/>
        <w:rPr>
          <w:rFonts w:hint="eastAsia"/>
          <w:color w:val="000000" w:themeColor="text1"/>
          <w:highlight w:val="none"/>
          <w14:textFill>
            <w14:solidFill>
              <w14:schemeClr w14:val="tx1"/>
            </w14:solidFill>
          </w14:textFill>
        </w:rPr>
      </w:pPr>
    </w:p>
    <w:p w14:paraId="27E58935">
      <w:pPr>
        <w:pStyle w:val="32"/>
        <w:rPr>
          <w:rFonts w:hint="eastAsia"/>
          <w:color w:val="000000" w:themeColor="text1"/>
          <w:highlight w:val="none"/>
          <w14:textFill>
            <w14:solidFill>
              <w14:schemeClr w14:val="tx1"/>
            </w14:solidFill>
          </w14:textFill>
        </w:rPr>
      </w:pPr>
    </w:p>
    <w:p w14:paraId="3449BD89">
      <w:pPr>
        <w:pStyle w:val="9"/>
        <w:rPr>
          <w:rFonts w:hint="eastAsia"/>
          <w:color w:val="000000" w:themeColor="text1"/>
          <w:highlight w:val="none"/>
          <w14:textFill>
            <w14:solidFill>
              <w14:schemeClr w14:val="tx1"/>
            </w14:solidFill>
          </w14:textFill>
        </w:rPr>
      </w:pPr>
    </w:p>
    <w:p w14:paraId="0BF90D3C">
      <w:pPr>
        <w:spacing w:before="120" w:line="480" w:lineRule="auto"/>
        <w:ind w:left="960"/>
        <w:rPr>
          <w:rFonts w:hint="default" w:ascii="宋体" w:hAnsi="宋体" w:eastAsia="宋体" w:cs="Times New Roman"/>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项目名称：</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p>
    <w:p w14:paraId="6C7D6FD1">
      <w:pPr>
        <w:spacing w:line="480" w:lineRule="auto"/>
        <w:ind w:firstLine="960" w:firstLineChars="4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项目编号：</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23378789">
      <w:pPr>
        <w:spacing w:before="120" w:line="480" w:lineRule="auto"/>
        <w:ind w:left="96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甲方（采购人）：</w:t>
      </w:r>
      <w:r>
        <w:rPr>
          <w:rFonts w:hint="eastAsia" w:ascii="宋体" w:hAnsi="宋体" w:eastAsia="宋体" w:cs="Times New Roman"/>
          <w:color w:val="000000" w:themeColor="text1"/>
          <w:sz w:val="24"/>
          <w:szCs w:val="24"/>
          <w:highlight w:val="none"/>
          <w:u w:val="single"/>
          <w14:textFill>
            <w14:solidFill>
              <w14:schemeClr w14:val="tx1"/>
            </w14:solidFill>
          </w14:textFill>
        </w:rPr>
        <w:t>滁州市第一人民医院</w:t>
      </w:r>
    </w:p>
    <w:p w14:paraId="245747BF">
      <w:pPr>
        <w:spacing w:before="120" w:line="480" w:lineRule="auto"/>
        <w:ind w:left="96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乙方（中标人）：</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43682DF9">
      <w:pPr>
        <w:spacing w:before="120" w:line="480" w:lineRule="auto"/>
        <w:ind w:firstLine="960" w:firstLineChars="40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签订地：</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0EB87D28">
      <w:pPr>
        <w:spacing w:before="120" w:line="480" w:lineRule="auto"/>
        <w:ind w:firstLine="960" w:firstLineChars="4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签订日期：</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年</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月</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日</w:t>
      </w:r>
    </w:p>
    <w:p w14:paraId="56A616E3">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p>
    <w:p w14:paraId="3CC8D483">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p>
    <w:p w14:paraId="71C6177C">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br w:type="page"/>
      </w:r>
    </w:p>
    <w:p w14:paraId="577FE41C">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u w:val="single"/>
          <w14:textFill>
            <w14:solidFill>
              <w14:schemeClr w14:val="tx1"/>
            </w14:solidFill>
          </w14:textFill>
        </w:rPr>
        <w:t>滁州市第一人民医院</w:t>
      </w: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zh-CN"/>
          <w14:textFill>
            <w14:solidFill>
              <w14:schemeClr w14:val="tx1"/>
            </w14:solidFill>
          </w14:textFill>
        </w:rPr>
        <w:t>以下简称：甲方</w:t>
      </w:r>
      <w:r>
        <w:rPr>
          <w:rFonts w:hint="eastAsia" w:ascii="宋体" w:hAnsi="宋体" w:eastAsia="宋体"/>
          <w:color w:val="000000" w:themeColor="text1"/>
          <w:sz w:val="24"/>
          <w:highlight w:val="none"/>
          <w14:textFill>
            <w14:solidFill>
              <w14:schemeClr w14:val="tx1"/>
            </w14:solidFill>
          </w14:textFill>
        </w:rPr>
        <w:t>）通过</w:t>
      </w:r>
      <w:r>
        <w:rPr>
          <w:rFonts w:hint="eastAsia" w:ascii="宋体" w:hAnsi="宋体" w:eastAsia="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组织的</w:t>
      </w:r>
      <w:r>
        <w:rPr>
          <w:rFonts w:hint="eastAsia" w:ascii="宋体" w:hAnsi="宋体" w:eastAsia="宋体"/>
          <w:color w:val="000000" w:themeColor="text1"/>
          <w:sz w:val="24"/>
          <w:highlight w:val="none"/>
          <w:u w:val="single"/>
          <w14:textFill>
            <w14:solidFill>
              <w14:schemeClr w14:val="tx1"/>
            </w14:solidFill>
          </w14:textFill>
        </w:rPr>
        <w:t>公开招标</w:t>
      </w:r>
      <w:r>
        <w:rPr>
          <w:rFonts w:hint="eastAsia" w:ascii="宋体" w:hAnsi="宋体" w:eastAsia="宋体"/>
          <w:color w:val="000000" w:themeColor="text1"/>
          <w:sz w:val="24"/>
          <w:highlight w:val="none"/>
          <w14:textFill>
            <w14:solidFill>
              <w14:schemeClr w14:val="tx1"/>
            </w14:solidFill>
          </w14:textFill>
        </w:rPr>
        <w:t>方式采购活动，经</w:t>
      </w:r>
      <w:r>
        <w:rPr>
          <w:rFonts w:hint="eastAsia" w:ascii="宋体" w:hAnsi="宋体" w:eastAsia="宋体"/>
          <w:color w:val="000000" w:themeColor="text1"/>
          <w:sz w:val="24"/>
          <w:highlight w:val="none"/>
          <w:u w:val="single"/>
          <w14:textFill>
            <w14:solidFill>
              <w14:schemeClr w14:val="tx1"/>
            </w14:solidFill>
          </w14:textFill>
        </w:rPr>
        <w:t>评标委员会</w:t>
      </w:r>
      <w:r>
        <w:rPr>
          <w:rFonts w:hint="eastAsia" w:ascii="宋体" w:hAnsi="宋体" w:eastAsia="宋体"/>
          <w:color w:val="000000" w:themeColor="text1"/>
          <w:sz w:val="24"/>
          <w:highlight w:val="none"/>
          <w14:textFill>
            <w14:solidFill>
              <w14:schemeClr w14:val="tx1"/>
            </w14:solidFill>
          </w14:textFill>
        </w:rPr>
        <w:t>评定，（</w:t>
      </w:r>
      <w:r>
        <w:rPr>
          <w:rFonts w:hint="eastAsia" w:ascii="宋体" w:hAnsi="宋体" w:eastAsia="宋体" w:cs="Times New Roman"/>
          <w:color w:val="000000" w:themeColor="text1"/>
          <w:sz w:val="24"/>
          <w:szCs w:val="24"/>
          <w:highlight w:val="none"/>
          <w:lang w:val="zh-CN"/>
          <w14:textFill>
            <w14:solidFill>
              <w14:schemeClr w14:val="tx1"/>
            </w14:solidFill>
          </w14:textFill>
        </w:rPr>
        <w:t>以下简称：乙方</w:t>
      </w:r>
      <w:r>
        <w:rPr>
          <w:rFonts w:hint="eastAsia" w:ascii="宋体" w:hAnsi="宋体" w:eastAsia="宋体"/>
          <w:color w:val="000000" w:themeColor="text1"/>
          <w:sz w:val="24"/>
          <w:highlight w:val="none"/>
          <w14:textFill>
            <w14:solidFill>
              <w14:schemeClr w14:val="tx1"/>
            </w14:solidFill>
          </w14:textFill>
        </w:rPr>
        <w:t>）为本项目中标人，现</w:t>
      </w:r>
      <w:r>
        <w:rPr>
          <w:rFonts w:hint="eastAsia" w:ascii="宋体" w:hAnsi="宋体" w:eastAsia="宋体" w:cs="Times New Roman"/>
          <w:color w:val="000000" w:themeColor="text1"/>
          <w:sz w:val="24"/>
          <w:szCs w:val="24"/>
          <w:highlight w:val="none"/>
          <w14:textFill>
            <w14:solidFill>
              <w14:schemeClr w14:val="tx1"/>
            </w14:solidFill>
          </w14:textFill>
        </w:rPr>
        <w:t>按照采购文件确定的事项签订本合同。</w:t>
      </w:r>
    </w:p>
    <w:p w14:paraId="605EEDF2">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34DB4CB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40" w:name="_Toc24059"/>
      <w:bookmarkStart w:id="41" w:name="_Toc3029"/>
      <w:bookmarkStart w:id="42" w:name="_Toc2232"/>
      <w:r>
        <w:rPr>
          <w:rFonts w:hint="eastAsia" w:ascii="宋体" w:hAnsi="宋体" w:eastAsia="宋体" w:cs="Times New Roman"/>
          <w:b/>
          <w:bCs/>
          <w:color w:val="000000" w:themeColor="text1"/>
          <w:sz w:val="24"/>
          <w:szCs w:val="24"/>
          <w:highlight w:val="none"/>
          <w:lang w:val="zh-CN"/>
          <w14:textFill>
            <w14:solidFill>
              <w14:schemeClr w14:val="tx1"/>
            </w14:solidFill>
          </w14:textFill>
        </w:rPr>
        <w:t>1.1合同组成部分</w:t>
      </w:r>
      <w:bookmarkEnd w:id="40"/>
      <w:bookmarkEnd w:id="41"/>
      <w:bookmarkEnd w:id="42"/>
    </w:p>
    <w:p w14:paraId="5C1A95E4">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02F53961">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1.1.1本合同及其补充合同、变更协议；</w:t>
      </w:r>
    </w:p>
    <w:p w14:paraId="14A6E0C8">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1.1.2中标通知书；</w:t>
      </w:r>
    </w:p>
    <w:p w14:paraId="610A2861">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1.1.3投标文件（含澄清或者说明文件）；</w:t>
      </w:r>
    </w:p>
    <w:p w14:paraId="5DBC0C45">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1.1.4招标文件（含澄清或者修改文件）；</w:t>
      </w:r>
    </w:p>
    <w:p w14:paraId="122F96A6">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1.1.5其他相关采购文件。</w:t>
      </w:r>
    </w:p>
    <w:p w14:paraId="46B3212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43" w:name="_Toc18585"/>
      <w:bookmarkStart w:id="44" w:name="_Toc2918"/>
      <w:bookmarkStart w:id="45" w:name="_Toc6773"/>
      <w:bookmarkStart w:id="46" w:name="_Toc6311"/>
      <w:bookmarkStart w:id="47" w:name="_Toc22185"/>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1.2 </w:t>
      </w:r>
      <w:bookmarkEnd w:id="43"/>
      <w:bookmarkEnd w:id="44"/>
      <w:bookmarkEnd w:id="45"/>
      <w:bookmarkEnd w:id="46"/>
      <w:bookmarkEnd w:id="47"/>
      <w:r>
        <w:rPr>
          <w:rFonts w:hint="eastAsia" w:ascii="宋体" w:hAnsi="宋体" w:eastAsia="宋体" w:cs="Times New Roman"/>
          <w:b/>
          <w:bCs/>
          <w:color w:val="000000" w:themeColor="text1"/>
          <w:sz w:val="24"/>
          <w:szCs w:val="24"/>
          <w:highlight w:val="none"/>
          <w:lang w:val="zh-CN"/>
          <w14:textFill>
            <w14:solidFill>
              <w14:schemeClr w14:val="tx1"/>
            </w14:solidFill>
          </w14:textFill>
        </w:rPr>
        <w:t>服务</w:t>
      </w:r>
    </w:p>
    <w:p w14:paraId="610B3CD1">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1.2.1服务</w:t>
      </w:r>
      <w:r>
        <w:rPr>
          <w:rFonts w:ascii="宋体" w:hAnsi="宋体" w:eastAsia="宋体" w:cs="Times New Roman"/>
          <w:color w:val="000000" w:themeColor="text1"/>
          <w:sz w:val="24"/>
          <w:szCs w:val="24"/>
          <w:highlight w:val="none"/>
          <w14:textFill>
            <w14:solidFill>
              <w14:schemeClr w14:val="tx1"/>
            </w14:solidFill>
          </w14:textFill>
        </w:rPr>
        <w:t>名称：</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728F67F">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1.2.2服务内容</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49850E13">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1.2.3服务质量：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1079C1A0">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48" w:name="_Toc21551"/>
      <w:bookmarkStart w:id="49" w:name="_Toc23292"/>
      <w:bookmarkStart w:id="50" w:name="_Toc21631"/>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3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价款</w:t>
      </w:r>
      <w:bookmarkEnd w:id="48"/>
      <w:bookmarkEnd w:id="49"/>
      <w:bookmarkEnd w:id="50"/>
    </w:p>
    <w:p w14:paraId="2A05DEF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本合同总价为：</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元（大写：人民币</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元）。</w:t>
      </w:r>
    </w:p>
    <w:p w14:paraId="3E482471">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分项价格：</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0D4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0AAD40C">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default" w:ascii="宋体" w:hAnsi="宋体" w:eastAsia="宋体" w:cs="Times New Roman"/>
                <w:color w:val="000000" w:themeColor="text1"/>
                <w:sz w:val="24"/>
                <w:szCs w:val="24"/>
                <w:highlight w:val="none"/>
                <w:lang w:val="zh-CN"/>
                <w14:textFill>
                  <w14:solidFill>
                    <w14:schemeClr w14:val="tx1"/>
                  </w14:solidFill>
                </w14:textFill>
              </w:rPr>
              <w:t>序号</w:t>
            </w:r>
          </w:p>
        </w:tc>
        <w:tc>
          <w:tcPr>
            <w:tcW w:w="4316" w:type="dxa"/>
            <w:vAlign w:val="center"/>
          </w:tcPr>
          <w:p w14:paraId="6495B7C2">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分项名称</w:t>
            </w:r>
          </w:p>
        </w:tc>
        <w:tc>
          <w:tcPr>
            <w:tcW w:w="3237" w:type="dxa"/>
            <w:gridSpan w:val="2"/>
            <w:vAlign w:val="center"/>
          </w:tcPr>
          <w:p w14:paraId="5EB780CA">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default" w:ascii="宋体" w:hAnsi="宋体" w:eastAsia="宋体" w:cs="Times New Roman"/>
                <w:color w:val="000000" w:themeColor="text1"/>
                <w:sz w:val="24"/>
                <w:szCs w:val="24"/>
                <w:highlight w:val="none"/>
                <w14:textFill>
                  <w14:solidFill>
                    <w14:schemeClr w14:val="tx1"/>
                  </w14:solidFill>
                </w14:textFill>
              </w:rPr>
              <w:t>分项价格</w:t>
            </w:r>
          </w:p>
        </w:tc>
      </w:tr>
      <w:tr w14:paraId="2EE4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B0F1B4C">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w:t>
            </w:r>
          </w:p>
        </w:tc>
        <w:tc>
          <w:tcPr>
            <w:tcW w:w="4316" w:type="dxa"/>
            <w:vAlign w:val="center"/>
          </w:tcPr>
          <w:p w14:paraId="4D970D1F">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36DF4849">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692A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05223AC">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2</w:t>
            </w:r>
          </w:p>
        </w:tc>
        <w:tc>
          <w:tcPr>
            <w:tcW w:w="4316" w:type="dxa"/>
            <w:vAlign w:val="center"/>
          </w:tcPr>
          <w:p w14:paraId="0A2F4FE9">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541949A0">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0A7E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C38C426">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default" w:ascii="宋体" w:hAnsi="宋体" w:eastAsia="宋体" w:cs="Times New Roman"/>
                <w:color w:val="000000" w:themeColor="text1"/>
                <w:sz w:val="24"/>
                <w:szCs w:val="24"/>
                <w:highlight w:val="none"/>
                <w:lang w:val="zh-CN"/>
                <w14:textFill>
                  <w14:solidFill>
                    <w14:schemeClr w14:val="tx1"/>
                  </w14:solidFill>
                </w14:textFill>
              </w:rPr>
              <w:t>3</w:t>
            </w:r>
          </w:p>
        </w:tc>
        <w:tc>
          <w:tcPr>
            <w:tcW w:w="4316" w:type="dxa"/>
            <w:vAlign w:val="center"/>
          </w:tcPr>
          <w:p w14:paraId="48C9B4EE">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7D2EE11A">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05F7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93514FA">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w:t>
            </w:r>
          </w:p>
        </w:tc>
        <w:tc>
          <w:tcPr>
            <w:tcW w:w="4316" w:type="dxa"/>
            <w:vAlign w:val="center"/>
          </w:tcPr>
          <w:p w14:paraId="44729961">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7B7300EA">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25A4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73A0E7AC">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总价</w:t>
            </w:r>
          </w:p>
        </w:tc>
        <w:tc>
          <w:tcPr>
            <w:tcW w:w="3237" w:type="dxa"/>
            <w:gridSpan w:val="2"/>
            <w:vAlign w:val="center"/>
          </w:tcPr>
          <w:p w14:paraId="7EE4ABEA">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bl>
    <w:p w14:paraId="25BAE64C">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51" w:name="_Toc10340"/>
      <w:bookmarkStart w:id="52" w:name="_Toc22618"/>
      <w:bookmarkStart w:id="53" w:name="_Toc1814"/>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4 付款方式和发票开具方式</w:t>
      </w:r>
      <w:bookmarkEnd w:id="51"/>
      <w:bookmarkEnd w:id="52"/>
      <w:bookmarkEnd w:id="53"/>
    </w:p>
    <w:p w14:paraId="0E21C814">
      <w:pPr>
        <w:spacing w:line="360" w:lineRule="auto"/>
        <w:ind w:firstLine="437"/>
        <w:outlineLvl w:val="2"/>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1.4.1</w:t>
      </w:r>
      <w:r>
        <w:rPr>
          <w:rFonts w:ascii="宋体" w:hAnsi="宋体" w:eastAsia="宋体" w:cs="Times New Roman"/>
          <w:color w:val="000000" w:themeColor="text1"/>
          <w:sz w:val="24"/>
          <w:szCs w:val="24"/>
          <w:highlight w:val="none"/>
          <w14:textFill>
            <w14:solidFill>
              <w14:schemeClr w14:val="tx1"/>
            </w14:solidFill>
          </w14:textFill>
        </w:rPr>
        <w:t>付款方式：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14:textFill>
            <w14:solidFill>
              <w14:schemeClr w14:val="tx1"/>
            </w14:solidFill>
          </w14:textFill>
        </w:rPr>
        <w:t>。</w:t>
      </w:r>
    </w:p>
    <w:p w14:paraId="4105724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1.4.2发票开具方式：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8FD9417">
      <w:pPr>
        <w:spacing w:line="360" w:lineRule="auto"/>
        <w:ind w:firstLine="437"/>
        <w:outlineLvl w:val="2"/>
        <w:rPr>
          <w:rFonts w:hint="eastAsia"/>
          <w:color w:val="000000" w:themeColor="text1"/>
          <w:highlight w:val="none"/>
          <w:lang w:val="zh-CN"/>
          <w14:textFill>
            <w14:solidFill>
              <w14:schemeClr w14:val="tx1"/>
            </w14:solidFill>
          </w14:textFill>
        </w:rPr>
      </w:pPr>
      <w:bookmarkStart w:id="54" w:name="_Toc19304"/>
      <w:bookmarkStart w:id="55" w:name="_Toc2846"/>
      <w:bookmarkStart w:id="56" w:name="_Toc32071"/>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5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服务</w:t>
      </w:r>
      <w:r>
        <w:rPr>
          <w:rFonts w:ascii="宋体" w:hAnsi="宋体" w:eastAsia="宋体" w:cs="Times New Roman"/>
          <w:b/>
          <w:bCs/>
          <w:color w:val="000000" w:themeColor="text1"/>
          <w:sz w:val="24"/>
          <w:szCs w:val="24"/>
          <w:highlight w:val="none"/>
          <w:lang w:val="zh-CN"/>
          <w14:textFill>
            <w14:solidFill>
              <w14:schemeClr w14:val="tx1"/>
            </w14:solidFill>
          </w14:textFill>
        </w:rPr>
        <w:t>期限</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、地点和方式</w:t>
      </w:r>
      <w:bookmarkEnd w:id="54"/>
      <w:bookmarkEnd w:id="55"/>
      <w:bookmarkEnd w:id="56"/>
    </w:p>
    <w:p w14:paraId="0326F3BA">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1.5.1服务期限</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860D0F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1.5.2服务地点</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53DFFB0">
      <w:pPr>
        <w:ind w:firstLine="480" w:firstLineChars="200"/>
        <w:rPr>
          <w:rFonts w:hint="eastAsia"/>
          <w:color w:val="000000" w:themeColor="text1"/>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1.5.3</w:t>
      </w:r>
      <w:r>
        <w:rPr>
          <w:rFonts w:hint="eastAsia" w:ascii="宋体" w:hAnsi="宋体" w:eastAsia="宋体" w:cs="宋体"/>
          <w:color w:val="000000" w:themeColor="text1"/>
          <w:sz w:val="24"/>
          <w:szCs w:val="24"/>
          <w:highlight w:val="none"/>
          <w:lang w:bidi="ar"/>
          <w14:textFill>
            <w14:solidFill>
              <w14:schemeClr w14:val="tx1"/>
            </w14:solidFill>
          </w14:textFill>
        </w:rPr>
        <w:t>服务方式：</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w:t>
      </w:r>
    </w:p>
    <w:p w14:paraId="3686A68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57" w:name="_Toc27250"/>
      <w:bookmarkStart w:id="58" w:name="_Toc21423"/>
      <w:bookmarkStart w:id="59" w:name="_Toc19554"/>
      <w:r>
        <w:rPr>
          <w:rFonts w:hint="eastAsia" w:ascii="宋体" w:hAnsi="宋体" w:eastAsia="宋体" w:cs="Times New Roman"/>
          <w:b/>
          <w:bCs/>
          <w:color w:val="000000" w:themeColor="text1"/>
          <w:sz w:val="24"/>
          <w:szCs w:val="24"/>
          <w:highlight w:val="none"/>
          <w:lang w:val="zh-CN"/>
          <w14:textFill>
            <w14:solidFill>
              <w14:schemeClr w14:val="tx1"/>
            </w14:solidFill>
          </w14:textFill>
        </w:rPr>
        <w:t>1.6 违约责任</w:t>
      </w:r>
      <w:bookmarkEnd w:id="57"/>
      <w:bookmarkEnd w:id="58"/>
      <w:bookmarkEnd w:id="59"/>
    </w:p>
    <w:p w14:paraId="66AF119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1.6.1</w:t>
      </w:r>
      <w:r>
        <w:rPr>
          <w:rFonts w:ascii="宋体" w:hAnsi="宋体" w:eastAsia="宋体" w:cs="Times New Roman"/>
          <w:color w:val="000000" w:themeColor="text1"/>
          <w:sz w:val="24"/>
          <w:szCs w:val="24"/>
          <w:highlight w:val="none"/>
          <w14:textFill>
            <w14:solidFill>
              <w14:schemeClr w14:val="tx1"/>
            </w14:solidFill>
          </w14:textFill>
        </w:rPr>
        <w:t>除不可抗力外，如果乙方没有按照本合同约定的期限</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地点和方式</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，那么甲方可要求乙方支付违约金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违约金按每迟延</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一日的应提供而未</w:t>
      </w:r>
      <w:r>
        <w:rPr>
          <w:rFonts w:hint="eastAsia" w:ascii="宋体" w:hAnsi="宋体" w:eastAsia="宋体" w:cs="Times New Roman"/>
          <w:color w:val="000000" w:themeColor="text1"/>
          <w:sz w:val="24"/>
          <w:szCs w:val="24"/>
          <w:highlight w:val="none"/>
          <w14:textFill>
            <w14:solidFill>
              <w14:schemeClr w14:val="tx1"/>
            </w14:solidFill>
          </w14:textFill>
        </w:rPr>
        <w:t>提供</w:t>
      </w:r>
      <w:r>
        <w:rPr>
          <w:rFonts w:ascii="宋体" w:hAnsi="宋体" w:eastAsia="宋体" w:cs="Times New Roman"/>
          <w:color w:val="000000" w:themeColor="text1"/>
          <w:sz w:val="24"/>
          <w:szCs w:val="24"/>
          <w:highlight w:val="none"/>
          <w14:textFill>
            <w14:solidFill>
              <w14:schemeClr w14:val="tx1"/>
            </w14:solidFill>
          </w14:textFill>
        </w:rPr>
        <w:t>服务价格的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%计算</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最高限额为</w:t>
      </w:r>
      <w:r>
        <w:rPr>
          <w:rFonts w:hint="eastAsia" w:ascii="宋体" w:hAnsi="宋体" w:eastAsia="宋体" w:cs="Times New Roman"/>
          <w:color w:val="000000" w:themeColor="text1"/>
          <w:sz w:val="24"/>
          <w:szCs w:val="24"/>
          <w:highlight w:val="none"/>
          <w14:textFill>
            <w14:solidFill>
              <w14:schemeClr w14:val="tx1"/>
            </w14:solidFill>
          </w14:textFill>
        </w:rPr>
        <w:t>本</w:t>
      </w:r>
      <w:r>
        <w:rPr>
          <w:rFonts w:ascii="宋体" w:hAnsi="宋体" w:eastAsia="宋体" w:cs="Times New Roman"/>
          <w:color w:val="000000" w:themeColor="text1"/>
          <w:sz w:val="24"/>
          <w:szCs w:val="24"/>
          <w:highlight w:val="none"/>
          <w14:textFill>
            <w14:solidFill>
              <w14:schemeClr w14:val="tx1"/>
            </w14:solidFill>
          </w14:textFill>
        </w:rPr>
        <w:t>合同总价的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迟延</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甲方有权在要求乙方支付违约金的同时</w:t>
      </w:r>
      <w:r>
        <w:rPr>
          <w:rFonts w:hint="eastAsia" w:ascii="宋体" w:hAnsi="宋体" w:eastAsia="宋体" w:cs="Times New Roman"/>
          <w:color w:val="000000" w:themeColor="text1"/>
          <w:sz w:val="24"/>
          <w:szCs w:val="24"/>
          <w:highlight w:val="none"/>
          <w14:textFill>
            <w14:solidFill>
              <w14:schemeClr w14:val="tx1"/>
            </w14:solidFill>
          </w14:textFill>
        </w:rPr>
        <w:t>，书面通知乙方</w:t>
      </w:r>
      <w:r>
        <w:rPr>
          <w:rFonts w:ascii="宋体" w:hAnsi="宋体" w:eastAsia="宋体" w:cs="Times New Roman"/>
          <w:color w:val="000000" w:themeColor="text1"/>
          <w:sz w:val="24"/>
          <w:szCs w:val="24"/>
          <w:highlight w:val="none"/>
          <w14:textFill>
            <w14:solidFill>
              <w14:schemeClr w14:val="tx1"/>
            </w14:solidFill>
          </w14:textFill>
        </w:rPr>
        <w:t>解除本合同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65438A0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1.6.2</w:t>
      </w:r>
      <w:r>
        <w:rPr>
          <w:rFonts w:ascii="宋体" w:hAnsi="宋体" w:eastAsia="宋体" w:cs="Times New Roman"/>
          <w:color w:val="000000" w:themeColor="text1"/>
          <w:sz w:val="24"/>
          <w:szCs w:val="24"/>
          <w:highlight w:val="none"/>
          <w14:textFill>
            <w14:solidFill>
              <w14:schemeClr w14:val="tx1"/>
            </w14:solidFill>
          </w14:textFill>
        </w:rPr>
        <w:t>除不可抗力外，如果甲方没有按照本合同约定的付款方式付款，那么乙方可要求甲方支付违约金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违约金按每迟延</w:t>
      </w:r>
      <w:r>
        <w:rPr>
          <w:rFonts w:hint="eastAsia" w:ascii="宋体" w:hAnsi="宋体" w:eastAsia="宋体" w:cs="Times New Roman"/>
          <w:color w:val="000000" w:themeColor="text1"/>
          <w:sz w:val="24"/>
          <w:szCs w:val="24"/>
          <w:highlight w:val="none"/>
          <w14:textFill>
            <w14:solidFill>
              <w14:schemeClr w14:val="tx1"/>
            </w14:solidFill>
          </w14:textFill>
        </w:rPr>
        <w:t>付款</w:t>
      </w:r>
      <w:r>
        <w:rPr>
          <w:rFonts w:ascii="宋体" w:hAnsi="宋体" w:eastAsia="宋体" w:cs="Times New Roman"/>
          <w:color w:val="000000" w:themeColor="text1"/>
          <w:sz w:val="24"/>
          <w:szCs w:val="24"/>
          <w:highlight w:val="none"/>
          <w14:textFill>
            <w14:solidFill>
              <w14:schemeClr w14:val="tx1"/>
            </w14:solidFill>
          </w14:textFill>
        </w:rPr>
        <w:t>一日的应付而未付款的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%计算</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最高限额为</w:t>
      </w:r>
      <w:r>
        <w:rPr>
          <w:rFonts w:hint="eastAsia" w:ascii="宋体" w:hAnsi="宋体" w:eastAsia="宋体" w:cs="Times New Roman"/>
          <w:color w:val="000000" w:themeColor="text1"/>
          <w:sz w:val="24"/>
          <w:szCs w:val="24"/>
          <w:highlight w:val="none"/>
          <w14:textFill>
            <w14:solidFill>
              <w14:schemeClr w14:val="tx1"/>
            </w14:solidFill>
          </w14:textFill>
        </w:rPr>
        <w:t>本</w:t>
      </w:r>
      <w:r>
        <w:rPr>
          <w:rFonts w:ascii="宋体" w:hAnsi="宋体" w:eastAsia="宋体" w:cs="Times New Roman"/>
          <w:color w:val="000000" w:themeColor="text1"/>
          <w:sz w:val="24"/>
          <w:szCs w:val="24"/>
          <w:highlight w:val="none"/>
          <w14:textFill>
            <w14:solidFill>
              <w14:schemeClr w14:val="tx1"/>
            </w14:solidFill>
          </w14:textFill>
        </w:rPr>
        <w:t>合同总价的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迟延</w:t>
      </w:r>
      <w:r>
        <w:rPr>
          <w:rFonts w:hint="eastAsia" w:ascii="宋体" w:hAnsi="宋体" w:eastAsia="宋体" w:cs="Times New Roman"/>
          <w:color w:val="000000" w:themeColor="text1"/>
          <w:sz w:val="24"/>
          <w:szCs w:val="24"/>
          <w:highlight w:val="none"/>
          <w14:textFill>
            <w14:solidFill>
              <w14:schemeClr w14:val="tx1"/>
            </w14:solidFill>
          </w14:textFill>
        </w:rPr>
        <w:t>付款</w:t>
      </w:r>
      <w:r>
        <w:rPr>
          <w:rFonts w:ascii="宋体" w:hAnsi="宋体" w:eastAsia="宋体" w:cs="Times New Roman"/>
          <w:color w:val="000000" w:themeColor="text1"/>
          <w:sz w:val="24"/>
          <w:szCs w:val="24"/>
          <w:highlight w:val="none"/>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highlight w:val="none"/>
          <w14:textFill>
            <w14:solidFill>
              <w14:schemeClr w14:val="tx1"/>
            </w14:solidFill>
          </w14:textFill>
        </w:rPr>
        <w:t>，乙</w:t>
      </w:r>
      <w:r>
        <w:rPr>
          <w:rFonts w:ascii="宋体" w:hAnsi="宋体" w:eastAsia="宋体" w:cs="Times New Roman"/>
          <w:color w:val="000000" w:themeColor="text1"/>
          <w:sz w:val="24"/>
          <w:szCs w:val="24"/>
          <w:highlight w:val="none"/>
          <w14:textFill>
            <w14:solidFill>
              <w14:schemeClr w14:val="tx1"/>
            </w14:solidFill>
          </w14:textFill>
        </w:rPr>
        <w:t>方有权在要求甲方支付违约金的同时</w:t>
      </w:r>
      <w:r>
        <w:rPr>
          <w:rFonts w:hint="eastAsia" w:ascii="宋体" w:hAnsi="宋体" w:eastAsia="宋体" w:cs="Times New Roman"/>
          <w:color w:val="000000" w:themeColor="text1"/>
          <w:sz w:val="24"/>
          <w:szCs w:val="24"/>
          <w:highlight w:val="none"/>
          <w14:textFill>
            <w14:solidFill>
              <w14:schemeClr w14:val="tx1"/>
            </w14:solidFill>
          </w14:textFill>
        </w:rPr>
        <w:t>，书面通知甲方</w:t>
      </w:r>
      <w:r>
        <w:rPr>
          <w:rFonts w:ascii="宋体" w:hAnsi="宋体" w:eastAsia="宋体" w:cs="Times New Roman"/>
          <w:color w:val="000000" w:themeColor="text1"/>
          <w:sz w:val="24"/>
          <w:szCs w:val="24"/>
          <w:highlight w:val="none"/>
          <w14:textFill>
            <w14:solidFill>
              <w14:schemeClr w14:val="tx1"/>
            </w14:solidFill>
          </w14:textFill>
        </w:rPr>
        <w:t>解除本合同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6B1402A4">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9B6395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EC206C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48B1A9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77872CC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ascii="宋体" w:hAnsi="宋体" w:eastAsia="宋体" w:cs="Times New Roman"/>
          <w:color w:val="000000" w:themeColor="text1"/>
          <w:sz w:val="24"/>
          <w:szCs w:val="24"/>
          <w:highlight w:val="none"/>
          <w14:textFill>
            <w14:solidFill>
              <w14:schemeClr w14:val="tx1"/>
            </w14:solidFill>
          </w14:textFill>
        </w:rPr>
        <w:t>、逾期退还履约保证金</w:t>
      </w:r>
      <w:r>
        <w:rPr>
          <w:rFonts w:ascii="宋体" w:hAnsi="宋体" w:eastAsia="宋体" w:cs="Times New Roman"/>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ascii="宋体" w:hAnsi="宋体" w:eastAsia="宋体" w:cs="Times New Roman"/>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17CEA58B">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60" w:name="_Toc16021"/>
      <w:bookmarkStart w:id="61" w:name="_Toc28375"/>
      <w:bookmarkStart w:id="62" w:name="_Toc15583"/>
      <w:r>
        <w:rPr>
          <w:rFonts w:hint="eastAsia" w:ascii="宋体" w:hAnsi="宋体" w:eastAsia="宋体" w:cs="Times New Roman"/>
          <w:b/>
          <w:bCs/>
          <w:color w:val="000000" w:themeColor="text1"/>
          <w:sz w:val="24"/>
          <w:szCs w:val="24"/>
          <w:highlight w:val="none"/>
          <w:lang w:val="zh-CN"/>
          <w14:textFill>
            <w14:solidFill>
              <w14:schemeClr w14:val="tx1"/>
            </w14:solidFill>
          </w14:textFill>
        </w:rPr>
        <w:t>1.7合同</w:t>
      </w:r>
      <w:r>
        <w:rPr>
          <w:rFonts w:ascii="宋体" w:hAnsi="宋体" w:eastAsia="宋体" w:cs="Times New Roman"/>
          <w:b/>
          <w:bCs/>
          <w:color w:val="000000" w:themeColor="text1"/>
          <w:sz w:val="24"/>
          <w:szCs w:val="24"/>
          <w:highlight w:val="none"/>
          <w:lang w:val="zh-CN"/>
          <w14:textFill>
            <w14:solidFill>
              <w14:schemeClr w14:val="tx1"/>
            </w14:solidFill>
          </w14:textFill>
        </w:rPr>
        <w:t>争议的解决</w:t>
      </w:r>
      <w:bookmarkEnd w:id="60"/>
      <w:bookmarkEnd w:id="61"/>
      <w:bookmarkEnd w:id="62"/>
    </w:p>
    <w:p w14:paraId="6DB17CB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63" w:name="_Toc15322"/>
      <w:bookmarkStart w:id="64" w:name="_Toc11173"/>
      <w:bookmarkStart w:id="65" w:name="_Toc7245"/>
      <w:r>
        <w:rPr>
          <w:rFonts w:hint="eastAsia" w:ascii="宋体" w:hAnsi="宋体" w:eastAsia="宋体" w:cs="宋体"/>
          <w:color w:val="000000" w:themeColor="text1"/>
          <w:sz w:val="24"/>
          <w:szCs w:val="24"/>
          <w:highlight w:val="none"/>
          <w:lang w:bidi="ar"/>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种方式解决：</w:t>
      </w:r>
    </w:p>
    <w:p w14:paraId="4D0A73A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1.7.1将争议提交</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仲裁委员会依申请仲裁时其现行有效的仲裁规则裁决；</w:t>
      </w:r>
    </w:p>
    <w:p w14:paraId="25040BE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1.7.2向</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人民法院起诉。</w:t>
      </w:r>
    </w:p>
    <w:p w14:paraId="2749CA9B">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r>
        <w:rPr>
          <w:rFonts w:hint="eastAsia" w:ascii="宋体" w:hAnsi="宋体" w:eastAsia="宋体" w:cs="Times New Roman"/>
          <w:b/>
          <w:bCs/>
          <w:color w:val="000000" w:themeColor="text1"/>
          <w:sz w:val="24"/>
          <w:szCs w:val="24"/>
          <w:highlight w:val="none"/>
          <w:lang w:val="zh-CN"/>
          <w14:textFill>
            <w14:solidFill>
              <w14:schemeClr w14:val="tx1"/>
            </w14:solidFill>
          </w14:textFill>
        </w:rPr>
        <w:t>1.8</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 合同生效</w:t>
      </w:r>
      <w:bookmarkEnd w:id="63"/>
      <w:bookmarkEnd w:id="64"/>
      <w:bookmarkEnd w:id="65"/>
    </w:p>
    <w:p w14:paraId="54EE516F">
      <w:pPr>
        <w:spacing w:line="400" w:lineRule="exact"/>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本合同自</w:t>
      </w:r>
      <w:r>
        <w:rPr>
          <w:rFonts w:hint="eastAsia" w:ascii="宋体" w:hAnsi="宋体" w:eastAsia="宋体" w:cs="Times New Roman"/>
          <w:color w:val="000000" w:themeColor="text1"/>
          <w:sz w:val="24"/>
          <w:szCs w:val="24"/>
          <w:highlight w:val="none"/>
          <w14:textFill>
            <w14:solidFill>
              <w14:schemeClr w14:val="tx1"/>
            </w14:solidFill>
          </w14:textFill>
        </w:rPr>
        <w:t>双方当事人盖章时</w:t>
      </w:r>
      <w:r>
        <w:rPr>
          <w:rFonts w:ascii="宋体" w:hAnsi="宋体" w:eastAsia="宋体" w:cs="Times New Roman"/>
          <w:color w:val="000000" w:themeColor="text1"/>
          <w:sz w:val="24"/>
          <w:szCs w:val="24"/>
          <w:highlight w:val="none"/>
          <w14:textFill>
            <w14:solidFill>
              <w14:schemeClr w14:val="tx1"/>
            </w14:solidFill>
          </w14:textFill>
        </w:rPr>
        <w:t>生效。</w:t>
      </w:r>
    </w:p>
    <w:p w14:paraId="55B6E0D8">
      <w:pPr>
        <w:autoSpaceDE w:val="0"/>
        <w:autoSpaceDN w:val="0"/>
        <w:adjustRightInd w:val="0"/>
        <w:spacing w:line="560" w:lineRule="exact"/>
        <w:rPr>
          <w:rFonts w:hint="eastAsia" w:ascii="宋体" w:hAnsi="宋体" w:eastAsia="宋体" w:cs="Times New Roman"/>
          <w:bCs/>
          <w:color w:val="000000" w:themeColor="text1"/>
          <w:sz w:val="24"/>
          <w:szCs w:val="24"/>
          <w:highlight w:val="none"/>
          <w14:textFill>
            <w14:solidFill>
              <w14:schemeClr w14:val="tx1"/>
            </w14:solidFill>
          </w14:textFill>
        </w:rPr>
      </w:pPr>
      <w:bookmarkStart w:id="66" w:name="_Toc331685783"/>
      <w:r>
        <w:rPr>
          <w:rFonts w:hint="eastAsia" w:ascii="宋体" w:hAnsi="宋体" w:eastAsia="宋体" w:cs="宋体"/>
          <w:bCs/>
          <w:color w:val="000000" w:themeColor="text1"/>
          <w:sz w:val="24"/>
          <w:szCs w:val="24"/>
          <w:highlight w:val="none"/>
          <w:lang w:bidi="ar"/>
          <w14:textFill>
            <w14:solidFill>
              <w14:schemeClr w14:val="tx1"/>
            </w14:solidFill>
          </w14:textFill>
        </w:rPr>
        <w:t>甲</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方：</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乙方：</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p>
    <w:p w14:paraId="63DCB048">
      <w:pPr>
        <w:autoSpaceDE w:val="0"/>
        <w:autoSpaceDN w:val="0"/>
        <w:adjustRightInd w:val="0"/>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法定代表人</w:t>
      </w:r>
      <w:r>
        <w:rPr>
          <w:rFonts w:hint="eastAsia" w:ascii="宋体" w:hAnsi="宋体" w:eastAsia="宋体" w:cs="Times New Roman"/>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法定代表人</w:t>
      </w:r>
    </w:p>
    <w:p w14:paraId="2463B6FD">
      <w:pPr>
        <w:autoSpaceDE w:val="0"/>
        <w:autoSpaceDN w:val="0"/>
        <w:adjustRightInd w:val="0"/>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或授权代表（签字）：</w:t>
      </w:r>
      <w:r>
        <w:rPr>
          <w:rFonts w:hint="eastAsia" w:ascii="宋体" w:hAnsi="宋体" w:eastAsia="宋体" w:cs="Times New Roman"/>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或授权代表（签字）：</w:t>
      </w:r>
    </w:p>
    <w:p w14:paraId="206FD2EA">
      <w:pPr>
        <w:widowControl/>
        <w:spacing w:line="560" w:lineRule="exact"/>
        <w:jc w:val="left"/>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时间：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月</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日</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时间：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月</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日</w:t>
      </w:r>
    </w:p>
    <w:p w14:paraId="7CFB2E0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乙方账户信息</w:t>
      </w:r>
    </w:p>
    <w:p w14:paraId="4B21A64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户名：</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64F49C4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账号：</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171C2943">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开户银行：</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2E679E2C">
      <w:pPr>
        <w:widowControl/>
        <w:jc w:val="center"/>
        <w:rPr>
          <w:rFonts w:hint="eastAsia" w:ascii="宋体" w:hAnsi="宋体" w:eastAsia="宋体"/>
          <w:b/>
          <w:color w:val="000000" w:themeColor="text1"/>
          <w:sz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br w:type="page"/>
      </w:r>
      <w:bookmarkStart w:id="67" w:name="_Toc415"/>
      <w:r>
        <w:rPr>
          <w:rFonts w:hint="eastAsia" w:ascii="宋体" w:hAnsi="宋体" w:eastAsia="宋体"/>
          <w:b/>
          <w:color w:val="000000" w:themeColor="text1"/>
          <w:sz w:val="24"/>
          <w:highlight w:val="none"/>
          <w14:textFill>
            <w14:solidFill>
              <w14:schemeClr w14:val="tx1"/>
            </w14:solidFill>
          </w14:textFill>
        </w:rPr>
        <w:t>第二部分 合同一般条款</w:t>
      </w:r>
      <w:bookmarkEnd w:id="66"/>
      <w:bookmarkEnd w:id="67"/>
    </w:p>
    <w:p w14:paraId="582BC59D">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68" w:name="_Toc279701240"/>
      <w:bookmarkStart w:id="69" w:name="_Ref467379205"/>
      <w:bookmarkStart w:id="70" w:name="_Toc16917"/>
      <w:bookmarkStart w:id="71" w:name="_Ref467379094"/>
      <w:bookmarkStart w:id="72" w:name="_Ref467379101"/>
      <w:bookmarkStart w:id="73" w:name="_Toc259093669"/>
      <w:bookmarkStart w:id="74" w:name="_Ref467378499"/>
      <w:bookmarkStart w:id="75" w:name="_Ref467379109"/>
      <w:bookmarkStart w:id="76" w:name="_Ref467379195"/>
      <w:bookmarkStart w:id="77" w:name="_Toc19614"/>
      <w:bookmarkStart w:id="78" w:name="_Ref467379214"/>
      <w:bookmarkStart w:id="79" w:name="_Ref467378463"/>
      <w:bookmarkStart w:id="80" w:name="_Ref467378404"/>
      <w:bookmarkStart w:id="81" w:name="_Toc28763"/>
      <w:bookmarkStart w:id="82" w:name="_Toc487900349"/>
      <w:bookmarkStart w:id="83" w:name="_Ref467379225"/>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 定义</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22490AC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本合同中的下列</w:t>
      </w:r>
      <w:r>
        <w:rPr>
          <w:rFonts w:hint="eastAsia" w:ascii="宋体" w:hAnsi="宋体" w:eastAsia="宋体" w:cs="Times New Roman"/>
          <w:color w:val="000000" w:themeColor="text1"/>
          <w:sz w:val="24"/>
          <w:szCs w:val="24"/>
          <w:highlight w:val="none"/>
          <w14:textFill>
            <w14:solidFill>
              <w14:schemeClr w14:val="tx1"/>
            </w14:solidFill>
          </w14:textFill>
        </w:rPr>
        <w:t>词</w:t>
      </w:r>
      <w:r>
        <w:rPr>
          <w:rFonts w:ascii="宋体" w:hAnsi="宋体" w:eastAsia="宋体" w:cs="Times New Roman"/>
          <w:color w:val="000000" w:themeColor="text1"/>
          <w:sz w:val="24"/>
          <w:szCs w:val="24"/>
          <w:highlight w:val="none"/>
          <w14:textFill>
            <w14:solidFill>
              <w14:schemeClr w14:val="tx1"/>
            </w14:solidFill>
          </w14:textFill>
        </w:rPr>
        <w:t>语应</w:t>
      </w:r>
      <w:r>
        <w:rPr>
          <w:rFonts w:hint="eastAsia" w:ascii="宋体" w:hAnsi="宋体" w:eastAsia="宋体" w:cs="Times New Roman"/>
          <w:color w:val="000000" w:themeColor="text1"/>
          <w:sz w:val="24"/>
          <w:szCs w:val="24"/>
          <w:highlight w:val="none"/>
          <w14:textFill>
            <w14:solidFill>
              <w14:schemeClr w14:val="tx1"/>
            </w14:solidFill>
          </w14:textFill>
        </w:rPr>
        <w:t>按以下内容进行</w:t>
      </w:r>
      <w:r>
        <w:rPr>
          <w:rFonts w:ascii="宋体" w:hAnsi="宋体" w:eastAsia="宋体" w:cs="Times New Roman"/>
          <w:color w:val="000000" w:themeColor="text1"/>
          <w:sz w:val="24"/>
          <w:szCs w:val="24"/>
          <w:highlight w:val="none"/>
          <w14:textFill>
            <w14:solidFill>
              <w14:schemeClr w14:val="tx1"/>
            </w14:solidFill>
          </w14:textFill>
        </w:rPr>
        <w:t>解释：</w:t>
      </w:r>
    </w:p>
    <w:p w14:paraId="672E451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.1</w:t>
      </w:r>
      <w:r>
        <w:rPr>
          <w:rFonts w:ascii="宋体" w:hAnsi="宋体" w:eastAsia="宋体" w:cs="Times New Roman"/>
          <w:color w:val="000000" w:themeColor="text1"/>
          <w:sz w:val="24"/>
          <w:szCs w:val="24"/>
          <w:highlight w:val="none"/>
          <w14:textFill>
            <w14:solidFill>
              <w14:schemeClr w14:val="tx1"/>
            </w14:solidFill>
          </w14:textFill>
        </w:rPr>
        <w:t>“合同”系指采购人和中标人签订的载明双方当事人所达成的协议，并包括所有的附件、附录和构成合同的其他文件。</w:t>
      </w:r>
    </w:p>
    <w:p w14:paraId="751E297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1.2“合同价”系指根据合同约定，中标人在完全履行合同义务后</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采购人应支付给中标人的价格。</w:t>
      </w:r>
    </w:p>
    <w:p w14:paraId="2128F84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1.3“</w:t>
      </w:r>
      <w:r>
        <w:rPr>
          <w:rFonts w:hint="eastAsia" w:ascii="宋体" w:hAnsi="宋体" w:eastAsia="宋体" w:cs="Times New Roman"/>
          <w:color w:val="000000" w:themeColor="text1"/>
          <w:sz w:val="24"/>
          <w:szCs w:val="24"/>
          <w:highlight w:val="none"/>
          <w14:textFill>
            <w14:solidFill>
              <w14:schemeClr w14:val="tx1"/>
            </w14:solidFill>
          </w14:textFill>
        </w:rPr>
        <w:t>服务</w:t>
      </w:r>
      <w:r>
        <w:rPr>
          <w:rFonts w:ascii="宋体" w:hAnsi="宋体" w:eastAsia="宋体" w:cs="Times New Roman"/>
          <w:color w:val="000000" w:themeColor="text1"/>
          <w:sz w:val="24"/>
          <w:szCs w:val="24"/>
          <w:highlight w:val="none"/>
          <w14:textFill>
            <w14:solidFill>
              <w14:schemeClr w14:val="tx1"/>
            </w14:solidFill>
          </w14:textFill>
        </w:rPr>
        <w:t>”系指</w:t>
      </w:r>
      <w:r>
        <w:rPr>
          <w:rFonts w:hint="eastAsia" w:ascii="宋体" w:hAnsi="宋体" w:eastAsia="宋体" w:cs="Times New Roman"/>
          <w:color w:val="000000" w:themeColor="text1"/>
          <w:sz w:val="24"/>
          <w:szCs w:val="24"/>
          <w:highlight w:val="none"/>
          <w14:textFill>
            <w14:solidFill>
              <w14:schemeClr w14:val="tx1"/>
            </w14:solidFill>
          </w14:textFill>
        </w:rPr>
        <w:t>中标人</w:t>
      </w:r>
      <w:r>
        <w:rPr>
          <w:rFonts w:ascii="宋体" w:hAnsi="宋体" w:eastAsia="宋体" w:cs="Times New Roman"/>
          <w:color w:val="000000" w:themeColor="text1"/>
          <w:sz w:val="24"/>
          <w:szCs w:val="24"/>
          <w:highlight w:val="none"/>
          <w14:textFill>
            <w14:solidFill>
              <w14:schemeClr w14:val="tx1"/>
            </w14:solidFill>
          </w14:textFill>
        </w:rPr>
        <w:t>根据合同约定应向采购人</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w:t>
      </w:r>
      <w:r>
        <w:rPr>
          <w:rFonts w:hint="eastAsia" w:ascii="宋体" w:hAnsi="宋体" w:eastAsia="宋体" w:cs="Times New Roman"/>
          <w:color w:val="000000" w:themeColor="text1"/>
          <w:sz w:val="24"/>
          <w:szCs w:val="24"/>
          <w:highlight w:val="none"/>
          <w14:textFill>
            <w14:solidFill>
              <w14:schemeClr w14:val="tx1"/>
            </w14:solidFill>
          </w14:textFill>
        </w:rPr>
        <w:t>除货物和工程以外的其他政府采购对象，包括采购人自身需要的服务和向社会公众提供的公共服务。</w:t>
      </w:r>
    </w:p>
    <w:p w14:paraId="3BCA3514">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4" w:name="_Ref467378840"/>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4</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甲方</w:t>
      </w:r>
      <w:r>
        <w:rPr>
          <w:rFonts w:ascii="宋体" w:hAnsi="宋体" w:eastAsia="宋体" w:cs="Times New Roman"/>
          <w:color w:val="000000" w:themeColor="text1"/>
          <w:sz w:val="24"/>
          <w:szCs w:val="24"/>
          <w:highlight w:val="none"/>
          <w14:textFill>
            <w14:solidFill>
              <w14:schemeClr w14:val="tx1"/>
            </w14:solidFill>
          </w14:textFill>
        </w:rPr>
        <w:t>”系指与</w:t>
      </w:r>
      <w:r>
        <w:rPr>
          <w:rFonts w:hint="eastAsia" w:ascii="宋体" w:hAnsi="宋体" w:eastAsia="宋体" w:cs="Times New Roman"/>
          <w:color w:val="000000" w:themeColor="text1"/>
          <w:sz w:val="24"/>
          <w:szCs w:val="24"/>
          <w:highlight w:val="none"/>
          <w14:textFill>
            <w14:solidFill>
              <w14:schemeClr w14:val="tx1"/>
            </w14:solidFill>
          </w14:textFill>
        </w:rPr>
        <w:t>中标人</w:t>
      </w:r>
      <w:r>
        <w:rPr>
          <w:rFonts w:ascii="宋体" w:hAnsi="宋体" w:eastAsia="宋体" w:cs="Times New Roman"/>
          <w:color w:val="000000" w:themeColor="text1"/>
          <w:sz w:val="24"/>
          <w:szCs w:val="24"/>
          <w:highlight w:val="none"/>
          <w14:textFill>
            <w14:solidFill>
              <w14:schemeClr w14:val="tx1"/>
            </w14:solidFill>
          </w14:textFill>
        </w:rPr>
        <w:t>签署合同的采购人</w:t>
      </w:r>
      <w:bookmarkEnd w:id="84"/>
      <w:r>
        <w:rPr>
          <w:rFonts w:hint="eastAsia" w:ascii="宋体" w:hAnsi="宋体" w:eastAsia="宋体" w:cs="Times New Roman"/>
          <w:color w:val="000000" w:themeColor="text1"/>
          <w:sz w:val="24"/>
          <w:szCs w:val="24"/>
          <w:highlight w:val="none"/>
          <w14:textFill>
            <w14:solidFill>
              <w14:schemeClr w14:val="tx1"/>
            </w14:solidFill>
          </w14:textFill>
        </w:rPr>
        <w:t>；采购人委托采购代理机构代表其与乙方签订合同的，采购人的授权委托书作为合同附件。</w:t>
      </w:r>
    </w:p>
    <w:p w14:paraId="5763265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5" w:name="_Ref467379400"/>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5</w:t>
      </w:r>
      <w:r>
        <w:rPr>
          <w:rFonts w:ascii="宋体" w:hAnsi="宋体" w:eastAsia="宋体" w:cs="Times New Roman"/>
          <w:color w:val="000000" w:themeColor="text1"/>
          <w:sz w:val="24"/>
          <w:szCs w:val="24"/>
          <w:highlight w:val="none"/>
          <w14:textFill>
            <w14:solidFill>
              <w14:schemeClr w14:val="tx1"/>
            </w14:solidFill>
          </w14:textFill>
        </w:rPr>
        <w:t>“乙方”系指根据合同约定</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的中标人</w:t>
      </w:r>
      <w:bookmarkEnd w:id="85"/>
      <w:r>
        <w:rPr>
          <w:rFonts w:hint="eastAsia" w:ascii="宋体" w:hAnsi="宋体" w:eastAsia="宋体" w:cs="Times New Roman"/>
          <w:color w:val="000000" w:themeColor="text1"/>
          <w:sz w:val="24"/>
          <w:szCs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1C1DA6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6" w:name="_Ref467379436"/>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6</w:t>
      </w:r>
      <w:r>
        <w:rPr>
          <w:rFonts w:ascii="宋体" w:hAnsi="宋体" w:eastAsia="宋体" w:cs="Times New Roman"/>
          <w:color w:val="000000" w:themeColor="text1"/>
          <w:sz w:val="24"/>
          <w:szCs w:val="24"/>
          <w:highlight w:val="none"/>
          <w14:textFill>
            <w14:solidFill>
              <w14:schemeClr w14:val="tx1"/>
            </w14:solidFill>
          </w14:textFill>
        </w:rPr>
        <w:t>“现场”系指合同约定</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的地点。</w:t>
      </w:r>
      <w:bookmarkEnd w:id="86"/>
    </w:p>
    <w:p w14:paraId="54E46740">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87" w:name="_Toc487900350"/>
      <w:bookmarkStart w:id="88" w:name="_Toc13336"/>
      <w:bookmarkStart w:id="89" w:name="_Toc259093670"/>
      <w:bookmarkStart w:id="90" w:name="_Toc32504"/>
      <w:bookmarkStart w:id="91" w:name="_Toc27635"/>
      <w:bookmarkStart w:id="92" w:name="_Toc279701241"/>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2 技术规范</w:t>
      </w:r>
      <w:bookmarkEnd w:id="87"/>
      <w:bookmarkEnd w:id="88"/>
      <w:bookmarkEnd w:id="89"/>
      <w:bookmarkEnd w:id="90"/>
      <w:bookmarkEnd w:id="91"/>
      <w:bookmarkEnd w:id="92"/>
    </w:p>
    <w:p w14:paraId="5959E72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如果采购文件中没有技术规范的相应说明，那么应以国家有关部门最新颁布的相应标准</w:t>
      </w:r>
      <w:r>
        <w:rPr>
          <w:rFonts w:hint="eastAsia" w:ascii="宋体" w:hAnsi="宋体" w:eastAsia="宋体" w:cs="Times New Roman"/>
          <w:color w:val="000000" w:themeColor="text1"/>
          <w:sz w:val="24"/>
          <w:szCs w:val="24"/>
          <w:highlight w:val="none"/>
          <w14:textFill>
            <w14:solidFill>
              <w14:schemeClr w14:val="tx1"/>
            </w14:solidFill>
          </w14:textFill>
        </w:rPr>
        <w:t>和</w:t>
      </w:r>
      <w:r>
        <w:rPr>
          <w:rFonts w:ascii="宋体" w:hAnsi="宋体" w:eastAsia="宋体" w:cs="Times New Roman"/>
          <w:color w:val="000000" w:themeColor="text1"/>
          <w:sz w:val="24"/>
          <w:szCs w:val="24"/>
          <w:highlight w:val="none"/>
          <w14:textFill>
            <w14:solidFill>
              <w14:schemeClr w14:val="tx1"/>
            </w14:solidFill>
          </w14:textFill>
        </w:rPr>
        <w:t>规范为准。</w:t>
      </w:r>
    </w:p>
    <w:p w14:paraId="69069CE3">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93" w:name="_Toc27853"/>
      <w:bookmarkStart w:id="94" w:name="_Toc9829"/>
      <w:bookmarkStart w:id="95" w:name="_Toc487900351"/>
      <w:bookmarkStart w:id="96" w:name="_Toc31634"/>
      <w:bookmarkStart w:id="97" w:name="_Toc279701242"/>
      <w:bookmarkStart w:id="98" w:name="_Toc259093671"/>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3 知识产权</w:t>
      </w:r>
      <w:bookmarkEnd w:id="93"/>
      <w:bookmarkEnd w:id="94"/>
      <w:bookmarkEnd w:id="95"/>
      <w:bookmarkEnd w:id="96"/>
      <w:bookmarkEnd w:id="97"/>
      <w:bookmarkEnd w:id="98"/>
    </w:p>
    <w:p w14:paraId="3DBD8DC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2.3.1乙</w:t>
      </w:r>
      <w:r>
        <w:rPr>
          <w:rFonts w:ascii="宋体" w:hAnsi="宋体" w:eastAsia="宋体" w:cs="Times New Roman"/>
          <w:color w:val="000000" w:themeColor="text1"/>
          <w:sz w:val="24"/>
          <w:szCs w:val="24"/>
          <w:highlight w:val="none"/>
          <w14:textFill>
            <w14:solidFill>
              <w14:schemeClr w14:val="tx1"/>
            </w14:solidFill>
          </w14:textFill>
        </w:rPr>
        <w:t>方应保证</w:t>
      </w:r>
      <w:r>
        <w:rPr>
          <w:rFonts w:hint="eastAsia" w:ascii="宋体" w:hAnsi="宋体" w:eastAsia="宋体" w:cs="Times New Roman"/>
          <w:color w:val="000000" w:themeColor="text1"/>
          <w:sz w:val="24"/>
          <w:szCs w:val="24"/>
          <w:highlight w:val="none"/>
          <w14:textFill>
            <w14:solidFill>
              <w14:schemeClr w14:val="tx1"/>
            </w14:solidFill>
          </w14:textFill>
        </w:rPr>
        <w:t>其提供的服务</w:t>
      </w:r>
      <w:r>
        <w:rPr>
          <w:rFonts w:ascii="宋体" w:hAnsi="宋体" w:eastAsia="宋体" w:cs="Times New Roman"/>
          <w:color w:val="000000" w:themeColor="text1"/>
          <w:sz w:val="24"/>
          <w:szCs w:val="24"/>
          <w:highlight w:val="none"/>
          <w14:textFill>
            <w14:solidFill>
              <w14:schemeClr w14:val="tx1"/>
            </w14:solidFill>
          </w14:textFill>
        </w:rPr>
        <w:t>不受任何第三方提出的侵犯其著作权、商标权、专利权等知识产权方面的起诉</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如果任何第三方提出侵权</w:t>
      </w:r>
      <w:r>
        <w:rPr>
          <w:rFonts w:hint="eastAsia" w:ascii="宋体" w:hAnsi="宋体" w:eastAsia="宋体" w:cs="Times New Roman"/>
          <w:color w:val="000000" w:themeColor="text1"/>
          <w:sz w:val="24"/>
          <w:szCs w:val="24"/>
          <w:highlight w:val="none"/>
          <w14:textFill>
            <w14:solidFill>
              <w14:schemeClr w14:val="tx1"/>
            </w14:solidFill>
          </w14:textFill>
        </w:rPr>
        <w:t>指控</w:t>
      </w:r>
      <w:r>
        <w:rPr>
          <w:rFonts w:ascii="宋体" w:hAnsi="宋体" w:eastAsia="宋体" w:cs="Times New Roman"/>
          <w:color w:val="000000" w:themeColor="text1"/>
          <w:sz w:val="24"/>
          <w:szCs w:val="24"/>
          <w:highlight w:val="none"/>
          <w14:textFill>
            <w14:solidFill>
              <w14:schemeClr w14:val="tx1"/>
            </w14:solidFill>
          </w14:textFill>
        </w:rPr>
        <w:t>，那么乙方须与该第三方交涉并承担由此发生的一切责任、费用和赔偿</w:t>
      </w:r>
      <w:r>
        <w:rPr>
          <w:rFonts w:hint="eastAsia" w:ascii="宋体" w:hAnsi="宋体" w:eastAsia="宋体" w:cs="Times New Roman"/>
          <w:color w:val="000000" w:themeColor="text1"/>
          <w:sz w:val="24"/>
          <w:szCs w:val="24"/>
          <w:highlight w:val="none"/>
          <w14:textFill>
            <w14:solidFill>
              <w14:schemeClr w14:val="tx1"/>
            </w14:solidFill>
          </w14:textFill>
        </w:rPr>
        <w:t>；</w:t>
      </w:r>
    </w:p>
    <w:p w14:paraId="2BF3DE0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2.3.2具有知识产权的计算机软件等货物的知识产权归属，</w:t>
      </w:r>
      <w:r>
        <w:rPr>
          <w:rFonts w:ascii="宋体" w:hAnsi="宋体" w:eastAsia="宋体" w:cs="Times New Roman"/>
          <w:color w:val="000000" w:themeColor="text1"/>
          <w:sz w:val="24"/>
          <w:szCs w:val="24"/>
          <w:highlight w:val="none"/>
          <w14:textFill>
            <w14:solidFill>
              <w14:schemeClr w14:val="tx1"/>
            </w14:solidFill>
          </w14:textFill>
        </w:rPr>
        <w:t>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w:t>
      </w:r>
    </w:p>
    <w:p w14:paraId="459AC116">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99" w:name="_Ref467378541"/>
      <w:bookmarkStart w:id="100" w:name="_Ref467379527"/>
      <w:bookmarkStart w:id="101" w:name="_Ref467379542"/>
      <w:bookmarkStart w:id="102" w:name="_Ref467379536"/>
      <w:bookmarkStart w:id="103" w:name="_Toc487900354"/>
      <w:bookmarkStart w:id="104" w:name="_Ref467378591"/>
      <w:bookmarkStart w:id="105" w:name="_Toc259093674"/>
      <w:bookmarkStart w:id="106" w:name="_Toc279701245"/>
      <w:bookmarkStart w:id="107" w:name="_Toc19074"/>
      <w:bookmarkStart w:id="108" w:name="_Toc26182"/>
      <w:bookmarkStart w:id="109" w:name="_Toc30272"/>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bookmarkEnd w:id="99"/>
      <w:bookmarkEnd w:id="100"/>
      <w:bookmarkEnd w:id="101"/>
      <w:bookmarkEnd w:id="102"/>
      <w:bookmarkEnd w:id="103"/>
      <w:bookmarkEnd w:id="104"/>
      <w:bookmarkEnd w:id="105"/>
      <w:bookmarkEnd w:id="106"/>
      <w:r>
        <w:rPr>
          <w:rFonts w:ascii="宋体" w:hAnsi="宋体" w:eastAsia="宋体" w:cs="Times New Roman"/>
          <w:b/>
          <w:bCs/>
          <w:color w:val="000000" w:themeColor="text1"/>
          <w:sz w:val="24"/>
          <w:szCs w:val="24"/>
          <w:highlight w:val="none"/>
          <w:lang w:val="zh-CN"/>
          <w14:textFill>
            <w14:solidFill>
              <w14:schemeClr w14:val="tx1"/>
            </w14:solidFill>
          </w14:textFill>
        </w:rPr>
        <w:t xml:space="preserve">4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履约检查和问题反馈</w:t>
      </w:r>
      <w:bookmarkEnd w:id="107"/>
      <w:bookmarkEnd w:id="108"/>
      <w:bookmarkEnd w:id="109"/>
    </w:p>
    <w:p w14:paraId="5CEE4873">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110" w:name="_Toc186431854"/>
      <w:bookmarkStart w:id="111" w:name="_Ref467379807"/>
      <w:bookmarkStart w:id="112" w:name="_Toc279701247"/>
      <w:bookmarkStart w:id="113" w:name="_Ref467379793"/>
      <w:bookmarkStart w:id="114" w:name="_Toc259093676"/>
      <w:bookmarkStart w:id="115" w:name="_Toc487900357"/>
      <w:r>
        <w:rPr>
          <w:rFonts w:hint="eastAsia" w:ascii="宋体" w:hAnsi="宋体" w:eastAsia="宋体" w:cs="Times New Roman"/>
          <w:color w:val="000000" w:themeColor="text1"/>
          <w:sz w:val="24"/>
          <w:szCs w:val="24"/>
          <w:highlight w:val="none"/>
          <w14:textFill>
            <w14:solidFill>
              <w14:schemeClr w14:val="tx1"/>
            </w14:solidFill>
          </w14:textFill>
        </w:rPr>
        <w:t>2.4</w:t>
      </w:r>
      <w:r>
        <w:rPr>
          <w:rFonts w:ascii="宋体" w:hAnsi="宋体" w:eastAsia="宋体" w:cs="Times New Roman"/>
          <w:color w:val="000000" w:themeColor="text1"/>
          <w:sz w:val="24"/>
          <w:szCs w:val="24"/>
          <w:highlight w:val="none"/>
          <w14:textFill>
            <w14:solidFill>
              <w14:schemeClr w14:val="tx1"/>
            </w14:solidFill>
          </w14:textFill>
        </w:rPr>
        <w:t>.1甲方</w:t>
      </w:r>
      <w:r>
        <w:rPr>
          <w:rFonts w:hint="eastAsia" w:ascii="宋体" w:hAnsi="宋体" w:eastAsia="宋体" w:cs="Times New Roman"/>
          <w:color w:val="000000" w:themeColor="text1"/>
          <w:sz w:val="24"/>
          <w:szCs w:val="24"/>
          <w:highlight w:val="none"/>
          <w14:textFill>
            <w14:solidFill>
              <w14:schemeClr w14:val="tx1"/>
            </w14:solidFill>
          </w14:textFill>
        </w:rPr>
        <w:t>有权</w:t>
      </w:r>
      <w:r>
        <w:rPr>
          <w:rFonts w:ascii="宋体" w:hAnsi="宋体" w:eastAsia="宋体" w:cs="Times New Roman"/>
          <w:color w:val="000000" w:themeColor="text1"/>
          <w:sz w:val="24"/>
          <w:szCs w:val="24"/>
          <w:highlight w:val="none"/>
          <w14:textFill>
            <w14:solidFill>
              <w14:schemeClr w14:val="tx1"/>
            </w14:solidFill>
          </w14:textFill>
        </w:rPr>
        <w:t>在其认为必要时</w:t>
      </w:r>
      <w:r>
        <w:rPr>
          <w:rFonts w:hint="eastAsia" w:ascii="宋体" w:hAnsi="宋体" w:eastAsia="宋体" w:cs="Times New Roman"/>
          <w:color w:val="000000" w:themeColor="text1"/>
          <w:sz w:val="24"/>
          <w:szCs w:val="24"/>
          <w:highlight w:val="none"/>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3C5E4D5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.2合同履行期间，甲方有权将履行过程中出现的问题反馈给乙方，双方当事人应以书面形式约定需要完善和改进的内容</w:t>
      </w:r>
      <w:bookmarkEnd w:id="110"/>
      <w:bookmarkStart w:id="116" w:name="_Toc186431855"/>
      <w:r>
        <w:rPr>
          <w:rFonts w:hint="eastAsia" w:ascii="宋体" w:hAnsi="宋体" w:eastAsia="宋体" w:cs="Times New Roman"/>
          <w:color w:val="000000" w:themeColor="text1"/>
          <w:sz w:val="24"/>
          <w:szCs w:val="24"/>
          <w:highlight w:val="none"/>
          <w14:textFill>
            <w14:solidFill>
              <w14:schemeClr w14:val="tx1"/>
            </w14:solidFill>
          </w14:textFill>
        </w:rPr>
        <w:t>。</w:t>
      </w:r>
    </w:p>
    <w:bookmarkEnd w:id="116"/>
    <w:p w14:paraId="08CA4CEA">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17" w:name="_Toc7836"/>
      <w:bookmarkStart w:id="118" w:name="_Toc28451"/>
      <w:bookmarkStart w:id="119" w:name="_Toc19219"/>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5结算方式和付款条件</w:t>
      </w:r>
      <w:bookmarkEnd w:id="111"/>
      <w:bookmarkEnd w:id="112"/>
      <w:bookmarkEnd w:id="113"/>
      <w:bookmarkEnd w:id="114"/>
      <w:bookmarkEnd w:id="115"/>
      <w:bookmarkEnd w:id="117"/>
      <w:bookmarkEnd w:id="118"/>
      <w:bookmarkEnd w:id="119"/>
    </w:p>
    <w:p w14:paraId="53F570F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w:t>
      </w:r>
    </w:p>
    <w:p w14:paraId="09FBAA4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20" w:name="_Toc487900358"/>
      <w:bookmarkStart w:id="121" w:name="_Ref467379852"/>
      <w:bookmarkStart w:id="122" w:name="_Toc279701248"/>
      <w:bookmarkStart w:id="123" w:name="_Ref467379863"/>
      <w:bookmarkStart w:id="124" w:name="_Toc259093677"/>
      <w:bookmarkStart w:id="125" w:name="_Ref467379923"/>
      <w:bookmarkStart w:id="126" w:name="_Toc3225"/>
      <w:bookmarkStart w:id="127" w:name="_Toc774"/>
      <w:bookmarkStart w:id="128" w:name="_Toc16110"/>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6技术资料</w:t>
      </w:r>
      <w:bookmarkEnd w:id="120"/>
      <w:bookmarkEnd w:id="121"/>
      <w:bookmarkEnd w:id="122"/>
      <w:bookmarkEnd w:id="123"/>
      <w:bookmarkEnd w:id="124"/>
      <w:bookmarkEnd w:id="125"/>
      <w:r>
        <w:rPr>
          <w:rFonts w:ascii="宋体" w:hAnsi="宋体" w:eastAsia="宋体" w:cs="Times New Roman"/>
          <w:b/>
          <w:bCs/>
          <w:color w:val="000000" w:themeColor="text1"/>
          <w:sz w:val="24"/>
          <w:szCs w:val="24"/>
          <w:highlight w:val="none"/>
          <w:lang w:val="zh-CN"/>
          <w14:textFill>
            <w14:solidFill>
              <w14:schemeClr w14:val="tx1"/>
            </w14:solidFill>
          </w14:textFill>
        </w:rPr>
        <w:t>和保密义务</w:t>
      </w:r>
      <w:bookmarkEnd w:id="126"/>
      <w:bookmarkEnd w:id="127"/>
      <w:bookmarkEnd w:id="128"/>
    </w:p>
    <w:p w14:paraId="16BFDA2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6.1</w:t>
      </w:r>
      <w:r>
        <w:rPr>
          <w:rFonts w:hint="eastAsia" w:ascii="宋体" w:hAnsi="宋体" w:eastAsia="宋体" w:cs="Times New Roman"/>
          <w:color w:val="000000" w:themeColor="text1"/>
          <w:sz w:val="24"/>
          <w:szCs w:val="24"/>
          <w:highlight w:val="none"/>
          <w14:textFill>
            <w14:solidFill>
              <w14:schemeClr w14:val="tx1"/>
            </w14:solidFill>
          </w14:textFill>
        </w:rPr>
        <w:t>乙方有权依据合同约定和项目需要，向甲方了解有关情况，调阅有关资料等，甲方应予积极配合；</w:t>
      </w:r>
    </w:p>
    <w:p w14:paraId="5921EAA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.2乙方有义务妥善保管和保护由甲方提供的前款信息和资料等；</w:t>
      </w:r>
    </w:p>
    <w:p w14:paraId="05330D1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000000" w:themeColor="text1"/>
          <w:sz w:val="24"/>
          <w:szCs w:val="24"/>
          <w:highlight w:val="none"/>
          <w14:textFill>
            <w14:solidFill>
              <w14:schemeClr w14:val="tx1"/>
            </w14:solidFill>
          </w14:textFill>
        </w:rPr>
        <w:t>技术情报</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技术资料</w:t>
      </w:r>
      <w:r>
        <w:rPr>
          <w:rFonts w:hint="eastAsia" w:ascii="宋体" w:hAnsi="宋体" w:eastAsia="宋体" w:cs="Times New Roman"/>
          <w:color w:val="000000" w:themeColor="text1"/>
          <w:sz w:val="24"/>
          <w:szCs w:val="24"/>
          <w:highlight w:val="none"/>
          <w14:textFill>
            <w14:solidFill>
              <w14:schemeClr w14:val="tx1"/>
            </w14:solidFill>
          </w14:textFill>
        </w:rPr>
        <w:t>、商业秘密和商业信息等，并采取一切合理和必要措施和方式防止任何第三方接触到对方当事人的上述保密信息和资料。</w:t>
      </w:r>
    </w:p>
    <w:p w14:paraId="128AD739">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29" w:name="_Toc7860"/>
      <w:r>
        <w:rPr>
          <w:rFonts w:ascii="宋体" w:hAnsi="宋体" w:eastAsia="宋体" w:cs="Times New Roman"/>
          <w:b/>
          <w:bCs/>
          <w:color w:val="000000" w:themeColor="text1"/>
          <w:sz w:val="24"/>
          <w:szCs w:val="24"/>
          <w:highlight w:val="none"/>
          <w:lang w:val="zh-CN"/>
          <w14:textFill>
            <w14:solidFill>
              <w14:schemeClr w14:val="tx1"/>
            </w14:solidFill>
          </w14:textFill>
        </w:rPr>
        <w:t>2.7 质量保证</w:t>
      </w:r>
      <w:bookmarkEnd w:id="129"/>
    </w:p>
    <w:p w14:paraId="736F565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.1乙方应建立和完善履行合同的内部质量保证体系，并提供相关内部规章制度给甲方，以便甲方进行监督检查；</w:t>
      </w:r>
    </w:p>
    <w:p w14:paraId="114FF6A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.2乙方应保证履行合同的人员数量和素质、软件和硬件设备的配置、场地、环境和设施等满足全面履行合同的要求，并应接受甲方的监督检查。</w:t>
      </w:r>
    </w:p>
    <w:p w14:paraId="43B68DEE">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30" w:name="_Toc22267"/>
      <w:r>
        <w:rPr>
          <w:rFonts w:hint="eastAsia" w:ascii="宋体" w:hAnsi="宋体" w:eastAsia="宋体" w:cs="Times New Roman"/>
          <w:b/>
          <w:color w:val="000000" w:themeColor="text1"/>
          <w:sz w:val="24"/>
          <w:szCs w:val="24"/>
          <w:highlight w:val="none"/>
          <w14:textFill>
            <w14:solidFill>
              <w14:schemeClr w14:val="tx1"/>
            </w14:solidFill>
          </w14:textFill>
        </w:rPr>
        <w:t>2.8 延迟履行</w:t>
      </w:r>
      <w:bookmarkEnd w:id="130"/>
    </w:p>
    <w:p w14:paraId="4D6FC9D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在合同履行过程中，如果乙方遇到不能按时</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的情况，应及时以书面形式将不能按时</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的理由、预期延误时间通知甲方</w:t>
      </w:r>
      <w:r>
        <w:rPr>
          <w:rFonts w:hint="eastAsia" w:ascii="宋体" w:hAnsi="宋体" w:eastAsia="宋体" w:cs="Times New Roman"/>
          <w:color w:val="000000" w:themeColor="text1"/>
          <w:sz w:val="24"/>
          <w:szCs w:val="24"/>
          <w:highlight w:val="none"/>
          <w14:textFill>
            <w14:solidFill>
              <w14:schemeClr w14:val="tx1"/>
            </w14:solidFill>
          </w14:textFill>
        </w:rPr>
        <w:t>；甲</w:t>
      </w:r>
      <w:r>
        <w:rPr>
          <w:rFonts w:ascii="宋体" w:hAnsi="宋体" w:eastAsia="宋体" w:cs="Times New Roman"/>
          <w:color w:val="000000" w:themeColor="text1"/>
          <w:sz w:val="24"/>
          <w:szCs w:val="24"/>
          <w:highlight w:val="none"/>
          <w14:textFill>
            <w14:solidFill>
              <w14:schemeClr w14:val="tx1"/>
            </w14:solidFill>
          </w14:textFill>
        </w:rPr>
        <w:t>方收到乙方通知后，认为其理由正当的，可以书面形式酌情同意乙方可以延长</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的具体时间。</w:t>
      </w:r>
    </w:p>
    <w:p w14:paraId="549E0F0C">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31" w:name="_Toc7502"/>
      <w:bookmarkStart w:id="132" w:name="_Ref467378121"/>
      <w:bookmarkStart w:id="133" w:name="_Toc259093683"/>
      <w:bookmarkStart w:id="134" w:name="_Toc279701254"/>
      <w:bookmarkStart w:id="135" w:name="_Toc487900364"/>
      <w:r>
        <w:rPr>
          <w:rFonts w:ascii="宋体" w:hAnsi="宋体" w:eastAsia="宋体" w:cs="Times New Roman"/>
          <w:b/>
          <w:bCs/>
          <w:color w:val="000000" w:themeColor="text1"/>
          <w:sz w:val="24"/>
          <w:szCs w:val="24"/>
          <w:highlight w:val="none"/>
          <w:lang w:val="zh-CN"/>
          <w14:textFill>
            <w14:solidFill>
              <w14:schemeClr w14:val="tx1"/>
            </w14:solidFill>
          </w14:textFill>
        </w:rPr>
        <w:t>2.9 合同变更</w:t>
      </w:r>
      <w:bookmarkEnd w:id="131"/>
    </w:p>
    <w:p w14:paraId="4EB41B1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.1双方当事人协商一致，可以签订书面补充合同的形式变更合同，但不得违背采购文件确定的事项；</w:t>
      </w:r>
    </w:p>
    <w:p w14:paraId="6E7F67F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36" w:name="_Toc279701259"/>
      <w:bookmarkStart w:id="137" w:name="_Toc259093688"/>
      <w:bookmarkStart w:id="138" w:name="_Toc487900369"/>
    </w:p>
    <w:p w14:paraId="28C4542F">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39" w:name="_Toc22955"/>
      <w:bookmarkStart w:id="140" w:name="_Toc10366"/>
      <w:bookmarkStart w:id="141" w:name="_Toc15237"/>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0合同转让</w:t>
      </w:r>
      <w:bookmarkEnd w:id="136"/>
      <w:bookmarkEnd w:id="137"/>
      <w:bookmarkEnd w:id="138"/>
      <w:r>
        <w:rPr>
          <w:rFonts w:ascii="宋体" w:hAnsi="宋体" w:eastAsia="宋体" w:cs="Times New Roman"/>
          <w:b/>
          <w:bCs/>
          <w:color w:val="000000" w:themeColor="text1"/>
          <w:sz w:val="24"/>
          <w:szCs w:val="24"/>
          <w:highlight w:val="none"/>
          <w:lang w:val="zh-CN"/>
          <w14:textFill>
            <w14:solidFill>
              <w14:schemeClr w14:val="tx1"/>
            </w14:solidFill>
          </w14:textFill>
        </w:rPr>
        <w:t>和分包</w:t>
      </w:r>
      <w:bookmarkEnd w:id="139"/>
      <w:bookmarkEnd w:id="140"/>
      <w:bookmarkEnd w:id="141"/>
    </w:p>
    <w:p w14:paraId="0EDE66D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合同的权利义务依法不</w:t>
      </w:r>
      <w:r>
        <w:rPr>
          <w:rFonts w:hint="eastAsia" w:ascii="宋体" w:hAnsi="宋体" w:eastAsia="宋体" w:cs="Times New Roman"/>
          <w:color w:val="000000" w:themeColor="text1"/>
          <w:sz w:val="24"/>
          <w:szCs w:val="24"/>
          <w:highlight w:val="none"/>
          <w14:textFill>
            <w14:solidFill>
              <w14:schemeClr w14:val="tx1"/>
            </w14:solidFill>
          </w14:textFill>
        </w:rPr>
        <w:t>得</w:t>
      </w:r>
      <w:r>
        <w:rPr>
          <w:rFonts w:ascii="宋体" w:hAnsi="宋体" w:eastAsia="宋体" w:cs="Times New Roman"/>
          <w:color w:val="000000" w:themeColor="text1"/>
          <w:sz w:val="24"/>
          <w:szCs w:val="24"/>
          <w:highlight w:val="none"/>
          <w14:textFill>
            <w14:solidFill>
              <w14:schemeClr w14:val="tx1"/>
            </w14:solidFill>
          </w14:textFill>
        </w:rPr>
        <w:t>转让</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但经甲方</w:t>
      </w:r>
      <w:r>
        <w:rPr>
          <w:rFonts w:hint="eastAsia" w:ascii="宋体" w:hAnsi="宋体" w:eastAsia="宋体" w:cs="Times New Roman"/>
          <w:color w:val="000000" w:themeColor="text1"/>
          <w:sz w:val="24"/>
          <w:szCs w:val="24"/>
          <w:highlight w:val="none"/>
          <w14:textFill>
            <w14:solidFill>
              <w14:schemeClr w14:val="tx1"/>
            </w14:solidFill>
          </w14:textFill>
        </w:rPr>
        <w:t>同意，乙方可以依法采取分包方式履行合同，即：依法可以</w:t>
      </w:r>
      <w:r>
        <w:rPr>
          <w:rFonts w:ascii="宋体" w:hAnsi="宋体" w:eastAsia="宋体" w:cs="Times New Roman"/>
          <w:color w:val="000000" w:themeColor="text1"/>
          <w:sz w:val="24"/>
          <w:szCs w:val="24"/>
          <w:highlight w:val="none"/>
          <w14:textFill>
            <w14:solidFill>
              <w14:schemeClr w14:val="tx1"/>
            </w14:solidFill>
          </w14:textFill>
        </w:rPr>
        <w:t>将合同项下的部分非主体、非关键性工作分包给他人完成</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接受分包的人应当具备相应的资格条件，并不得再次分包</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且乙方应就分包项目向甲方负责</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并</w:t>
      </w:r>
      <w:r>
        <w:rPr>
          <w:rFonts w:hint="eastAsia" w:ascii="宋体" w:hAnsi="宋体" w:eastAsia="宋体" w:cs="Times New Roman"/>
          <w:color w:val="000000" w:themeColor="text1"/>
          <w:sz w:val="24"/>
          <w:szCs w:val="24"/>
          <w:highlight w:val="none"/>
          <w14:textFill>
            <w14:solidFill>
              <w14:schemeClr w14:val="tx1"/>
            </w14:solidFill>
          </w14:textFill>
        </w:rPr>
        <w:t>与分包供应商就分包项目向甲方承担连带责任。</w:t>
      </w:r>
    </w:p>
    <w:p w14:paraId="051B2E4E">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42" w:name="_Toc14066"/>
      <w:bookmarkStart w:id="143" w:name="_Toc13566"/>
      <w:bookmarkStart w:id="144" w:name="_Toc16508"/>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1 不可抗力</w:t>
      </w:r>
      <w:bookmarkEnd w:id="142"/>
      <w:bookmarkEnd w:id="143"/>
      <w:bookmarkEnd w:id="144"/>
    </w:p>
    <w:p w14:paraId="7ECC19A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000000" w:themeColor="text1"/>
          <w:sz w:val="24"/>
          <w:szCs w:val="24"/>
          <w:highlight w:val="none"/>
          <w14:textFill>
            <w14:solidFill>
              <w14:schemeClr w14:val="tx1"/>
            </w14:solidFill>
          </w14:textFill>
        </w:rPr>
        <w:t>；</w:t>
      </w:r>
    </w:p>
    <w:p w14:paraId="7701527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.2因不可抗力致使不能实现合同目的的，当事人可以解除合同；</w:t>
      </w:r>
    </w:p>
    <w:p w14:paraId="08C68D6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.3因</w:t>
      </w:r>
      <w:r>
        <w:rPr>
          <w:rFonts w:ascii="宋体" w:hAnsi="宋体" w:eastAsia="宋体" w:cs="Times New Roman"/>
          <w:color w:val="000000" w:themeColor="text1"/>
          <w:sz w:val="24"/>
          <w:szCs w:val="24"/>
          <w:highlight w:val="none"/>
          <w14:textFill>
            <w14:solidFill>
              <w14:schemeClr w14:val="tx1"/>
            </w14:solidFill>
          </w14:textFill>
        </w:rPr>
        <w:t>不可抗力致使合同有变更必要的，双方当事人应在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约定时间内以书面形式变更合同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442B9C5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4</w:t>
      </w:r>
      <w:r>
        <w:rPr>
          <w:rFonts w:ascii="宋体" w:hAnsi="宋体" w:eastAsia="宋体" w:cs="Times New Roman"/>
          <w:color w:val="000000" w:themeColor="text1"/>
          <w:sz w:val="24"/>
          <w:szCs w:val="24"/>
          <w:highlight w:val="none"/>
          <w14:textFill>
            <w14:solidFill>
              <w14:schemeClr w14:val="tx1"/>
            </w14:solidFill>
          </w14:textFill>
        </w:rPr>
        <w:t>受</w:t>
      </w:r>
      <w:r>
        <w:rPr>
          <w:rFonts w:hint="eastAsia" w:ascii="宋体" w:hAnsi="宋体" w:eastAsia="宋体" w:cs="Times New Roman"/>
          <w:color w:val="000000" w:themeColor="text1"/>
          <w:sz w:val="24"/>
          <w:szCs w:val="24"/>
          <w:highlight w:val="none"/>
          <w14:textFill>
            <w14:solidFill>
              <w14:schemeClr w14:val="tx1"/>
            </w14:solidFill>
          </w14:textFill>
        </w:rPr>
        <w:t>不可抗力</w:t>
      </w:r>
      <w:r>
        <w:rPr>
          <w:rFonts w:ascii="宋体" w:hAnsi="宋体" w:eastAsia="宋体" w:cs="Times New Roman"/>
          <w:color w:val="000000" w:themeColor="text1"/>
          <w:sz w:val="24"/>
          <w:szCs w:val="24"/>
          <w:highlight w:val="none"/>
          <w14:textFill>
            <w14:solidFill>
              <w14:schemeClr w14:val="tx1"/>
            </w14:solidFill>
          </w14:textFill>
        </w:rPr>
        <w:t>影响的一方在不可抗力发生后</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应在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约定时间内以书面形式通知</w:t>
      </w:r>
      <w:r>
        <w:rPr>
          <w:rFonts w:hint="eastAsia" w:ascii="宋体" w:hAnsi="宋体" w:eastAsia="宋体" w:cs="Times New Roman"/>
          <w:color w:val="000000" w:themeColor="text1"/>
          <w:sz w:val="24"/>
          <w:szCs w:val="24"/>
          <w:highlight w:val="none"/>
          <w14:textFill>
            <w14:solidFill>
              <w14:schemeClr w14:val="tx1"/>
            </w14:solidFill>
          </w14:textFill>
        </w:rPr>
        <w:t>对</w:t>
      </w:r>
      <w:r>
        <w:rPr>
          <w:rFonts w:ascii="宋体" w:hAnsi="宋体" w:eastAsia="宋体" w:cs="Times New Roman"/>
          <w:color w:val="000000" w:themeColor="text1"/>
          <w:sz w:val="24"/>
          <w:szCs w:val="24"/>
          <w:highlight w:val="none"/>
          <w14:textFill>
            <w14:solidFill>
              <w14:schemeClr w14:val="tx1"/>
            </w14:solidFill>
          </w14:textFill>
        </w:rPr>
        <w:t>方当事人，并在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约定时间内，将有关部门出具的证明文件送达</w:t>
      </w:r>
      <w:r>
        <w:rPr>
          <w:rFonts w:hint="eastAsia" w:ascii="宋体" w:hAnsi="宋体" w:eastAsia="宋体" w:cs="Times New Roman"/>
          <w:color w:val="000000" w:themeColor="text1"/>
          <w:sz w:val="24"/>
          <w:szCs w:val="24"/>
          <w:highlight w:val="none"/>
          <w14:textFill>
            <w14:solidFill>
              <w14:schemeClr w14:val="tx1"/>
            </w14:solidFill>
          </w14:textFill>
        </w:rPr>
        <w:t>对方当事人</w:t>
      </w:r>
      <w:r>
        <w:rPr>
          <w:rFonts w:ascii="宋体" w:hAnsi="宋体" w:eastAsia="宋体" w:cs="Times New Roman"/>
          <w:color w:val="000000" w:themeColor="text1"/>
          <w:sz w:val="24"/>
          <w:szCs w:val="24"/>
          <w:highlight w:val="none"/>
          <w14:textFill>
            <w14:solidFill>
              <w14:schemeClr w14:val="tx1"/>
            </w14:solidFill>
          </w14:textFill>
        </w:rPr>
        <w:t>。</w:t>
      </w:r>
    </w:p>
    <w:p w14:paraId="581942A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45" w:name="_Toc259093684"/>
      <w:bookmarkStart w:id="146" w:name="_Toc279701255"/>
      <w:bookmarkStart w:id="147" w:name="_Toc487900365"/>
      <w:bookmarkStart w:id="148" w:name="_Toc6969"/>
      <w:bookmarkStart w:id="149" w:name="_Toc689"/>
      <w:bookmarkStart w:id="150" w:name="_Toc30676"/>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12税费</w:t>
      </w:r>
      <w:bookmarkEnd w:id="145"/>
      <w:bookmarkEnd w:id="146"/>
      <w:bookmarkEnd w:id="147"/>
      <w:bookmarkEnd w:id="148"/>
      <w:bookmarkEnd w:id="149"/>
      <w:bookmarkEnd w:id="150"/>
    </w:p>
    <w:p w14:paraId="5C1E7EA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与合同有关的一切税费</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均按照中华人民共和国法律的相关规定</w:t>
      </w:r>
      <w:r>
        <w:rPr>
          <w:rFonts w:hint="eastAsia" w:ascii="宋体" w:hAnsi="宋体" w:eastAsia="宋体" w:cs="Times New Roman"/>
          <w:color w:val="000000" w:themeColor="text1"/>
          <w:sz w:val="24"/>
          <w:szCs w:val="24"/>
          <w:highlight w:val="none"/>
          <w14:textFill>
            <w14:solidFill>
              <w14:schemeClr w14:val="tx1"/>
            </w14:solidFill>
          </w14:textFill>
        </w:rPr>
        <w:t>缴纳</w:t>
      </w:r>
      <w:r>
        <w:rPr>
          <w:rFonts w:ascii="宋体" w:hAnsi="宋体" w:eastAsia="宋体" w:cs="Times New Roman"/>
          <w:color w:val="000000" w:themeColor="text1"/>
          <w:sz w:val="24"/>
          <w:szCs w:val="24"/>
          <w:highlight w:val="none"/>
          <w14:textFill>
            <w14:solidFill>
              <w14:schemeClr w14:val="tx1"/>
            </w14:solidFill>
          </w14:textFill>
        </w:rPr>
        <w:t>。</w:t>
      </w:r>
    </w:p>
    <w:p w14:paraId="18ED5D7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51" w:name="_Toc487900368"/>
      <w:bookmarkStart w:id="152" w:name="_Toc16959"/>
      <w:bookmarkStart w:id="153" w:name="_Toc279701258"/>
      <w:bookmarkStart w:id="154" w:name="_Toc8298"/>
      <w:bookmarkStart w:id="155" w:name="_Toc7102"/>
      <w:bookmarkStart w:id="156" w:name="_Toc259093687"/>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13乙方破产</w:t>
      </w:r>
      <w:bookmarkEnd w:id="151"/>
      <w:bookmarkEnd w:id="152"/>
      <w:bookmarkEnd w:id="153"/>
      <w:bookmarkEnd w:id="154"/>
      <w:bookmarkEnd w:id="155"/>
      <w:bookmarkEnd w:id="156"/>
    </w:p>
    <w:p w14:paraId="6526F8F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如果乙方破产导致合同无法履行时，甲方可以书面形式通知乙方终止合同且不给予乙方任何补偿和赔偿</w:t>
      </w:r>
      <w:r>
        <w:rPr>
          <w:rFonts w:hint="eastAsia" w:ascii="宋体" w:hAnsi="宋体" w:eastAsia="宋体" w:cs="Times New Roman"/>
          <w:color w:val="000000" w:themeColor="text1"/>
          <w:sz w:val="24"/>
          <w:szCs w:val="24"/>
          <w:highlight w:val="none"/>
          <w14:textFill>
            <w14:solidFill>
              <w14:schemeClr w14:val="tx1"/>
            </w14:solidFill>
          </w14:textFill>
        </w:rPr>
        <w:t>，但合同的</w:t>
      </w:r>
      <w:r>
        <w:rPr>
          <w:rFonts w:ascii="宋体" w:hAnsi="宋体" w:eastAsia="宋体" w:cs="Times New Roman"/>
          <w:color w:val="000000" w:themeColor="text1"/>
          <w:sz w:val="24"/>
          <w:szCs w:val="24"/>
          <w:highlight w:val="none"/>
          <w14:textFill>
            <w14:solidFill>
              <w14:schemeClr w14:val="tx1"/>
            </w14:solidFill>
          </w14:textFill>
        </w:rPr>
        <w:t>终止不损害或不影响甲方已经采取或将要采取的任何要求乙方支付违约金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赔偿损失等的行动或补救措施的权利</w:t>
      </w:r>
      <w:r>
        <w:rPr>
          <w:rFonts w:hint="eastAsia" w:ascii="宋体" w:hAnsi="宋体" w:eastAsia="宋体" w:cs="Times New Roman"/>
          <w:color w:val="000000" w:themeColor="text1"/>
          <w:sz w:val="24"/>
          <w:szCs w:val="24"/>
          <w:highlight w:val="none"/>
          <w14:textFill>
            <w14:solidFill>
              <w14:schemeClr w14:val="tx1"/>
            </w14:solidFill>
          </w14:textFill>
        </w:rPr>
        <w:t>。</w:t>
      </w:r>
    </w:p>
    <w:p w14:paraId="232AF78D">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57" w:name="_Toc15387"/>
      <w:bookmarkStart w:id="158" w:name="_Toc6134"/>
      <w:bookmarkStart w:id="159" w:name="_Toc29333"/>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4</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合同中止、终止</w:t>
      </w:r>
      <w:bookmarkEnd w:id="157"/>
      <w:bookmarkEnd w:id="158"/>
      <w:bookmarkEnd w:id="159"/>
    </w:p>
    <w:p w14:paraId="4267967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.1双方当事人不得擅自中止或者终止合同；</w:t>
      </w:r>
    </w:p>
    <w:p w14:paraId="1B034C1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6889C193">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60" w:name="_Toc14563"/>
      <w:bookmarkStart w:id="161" w:name="_Toc1125"/>
      <w:bookmarkStart w:id="162" w:name="_Toc6596"/>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5</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检验和验收</w:t>
      </w:r>
      <w:bookmarkEnd w:id="160"/>
      <w:bookmarkEnd w:id="161"/>
      <w:bookmarkEnd w:id="162"/>
    </w:p>
    <w:p w14:paraId="07D4145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5</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1乙方按照</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的约定</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定期提交服务报告</w:t>
      </w:r>
      <w:r>
        <w:rPr>
          <w:rFonts w:hint="eastAsia" w:ascii="宋体" w:hAnsi="宋体" w:eastAsia="宋体" w:cs="Times New Roman"/>
          <w:color w:val="000000" w:themeColor="text1"/>
          <w:sz w:val="24"/>
          <w:szCs w:val="24"/>
          <w:highlight w:val="none"/>
          <w14:textFill>
            <w14:solidFill>
              <w14:schemeClr w14:val="tx1"/>
            </w14:solidFill>
          </w14:textFill>
        </w:rPr>
        <w:t>，甲方按照</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的约定进行定期验收</w:t>
      </w:r>
      <w:r>
        <w:rPr>
          <w:rFonts w:hint="eastAsia" w:ascii="宋体" w:hAnsi="宋体" w:eastAsia="宋体" w:cs="Times New Roman"/>
          <w:color w:val="000000" w:themeColor="text1"/>
          <w:sz w:val="24"/>
          <w:szCs w:val="24"/>
          <w:highlight w:val="none"/>
          <w14:textFill>
            <w14:solidFill>
              <w14:schemeClr w14:val="tx1"/>
            </w14:solidFill>
          </w14:textFill>
        </w:rPr>
        <w:t>；</w:t>
      </w:r>
    </w:p>
    <w:p w14:paraId="6E1D5C0B">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760F74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2.15.3检验和验收标准、程序等具体内容以及前述验收书的效力详见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hint="eastAsia" w:ascii="宋体" w:hAnsi="宋体" w:eastAsia="宋体" w:cs="Times New Roman"/>
          <w:i/>
          <w:color w:val="000000" w:themeColor="text1"/>
          <w:sz w:val="24"/>
          <w:szCs w:val="24"/>
          <w:highlight w:val="none"/>
          <w14:textFill>
            <w14:solidFill>
              <w14:schemeClr w14:val="tx1"/>
            </w14:solidFill>
          </w14:textFill>
        </w:rPr>
        <w:t>。</w:t>
      </w:r>
    </w:p>
    <w:bookmarkEnd w:id="132"/>
    <w:bookmarkEnd w:id="133"/>
    <w:bookmarkEnd w:id="134"/>
    <w:bookmarkEnd w:id="135"/>
    <w:p w14:paraId="5DFC0EA0">
      <w:pPr>
        <w:spacing w:line="360" w:lineRule="auto"/>
        <w:ind w:firstLine="437"/>
        <w:outlineLvl w:val="2"/>
        <w:rPr>
          <w:rFonts w:hint="eastAsia" w:ascii="宋体" w:hAnsi="宋体" w:eastAsia="宋体" w:cs="Times New Roman"/>
          <w:b/>
          <w:bCs/>
          <w:color w:val="000000" w:themeColor="text1"/>
          <w:sz w:val="24"/>
          <w:szCs w:val="24"/>
          <w:highlight w:val="none"/>
          <w14:textFill>
            <w14:solidFill>
              <w14:schemeClr w14:val="tx1"/>
            </w14:solidFill>
          </w14:textFill>
        </w:rPr>
      </w:pPr>
      <w:bookmarkStart w:id="163" w:name="_Toc18567"/>
      <w:bookmarkStart w:id="164" w:name="_Toc259093692"/>
      <w:bookmarkStart w:id="165" w:name="_Toc10330"/>
      <w:bookmarkStart w:id="166" w:name="_Toc12773"/>
      <w:bookmarkStart w:id="167" w:name="_Toc279701263"/>
      <w:bookmarkStart w:id="168" w:name="_Toc487900373"/>
      <w:r>
        <w:rPr>
          <w:rFonts w:hint="eastAsia" w:ascii="宋体" w:hAnsi="宋体" w:eastAsia="宋体" w:cs="Times New Roman"/>
          <w:b/>
          <w:bCs/>
          <w:color w:val="000000" w:themeColor="text1"/>
          <w:sz w:val="24"/>
          <w:szCs w:val="24"/>
          <w:highlight w:val="none"/>
          <w14:textFill>
            <w14:solidFill>
              <w14:schemeClr w14:val="tx1"/>
            </w14:solidFill>
          </w14:textFill>
        </w:rPr>
        <w:t>2.</w:t>
      </w:r>
      <w:r>
        <w:rPr>
          <w:rFonts w:ascii="宋体" w:hAnsi="宋体" w:eastAsia="宋体" w:cs="Times New Roman"/>
          <w:b/>
          <w:bCs/>
          <w:color w:val="000000" w:themeColor="text1"/>
          <w:sz w:val="24"/>
          <w:szCs w:val="24"/>
          <w:highlight w:val="none"/>
          <w14:textFill>
            <w14:solidFill>
              <w14:schemeClr w14:val="tx1"/>
            </w14:solidFill>
          </w14:textFill>
        </w:rPr>
        <w:t>16</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合同使用的文字和</w:t>
      </w:r>
      <w:r>
        <w:rPr>
          <w:rFonts w:ascii="宋体" w:hAnsi="宋体" w:eastAsia="宋体" w:cs="Times New Roman"/>
          <w:b/>
          <w:bCs/>
          <w:color w:val="000000" w:themeColor="text1"/>
          <w:sz w:val="24"/>
          <w:szCs w:val="24"/>
          <w:highlight w:val="none"/>
          <w:lang w:val="zh-CN"/>
          <w14:textFill>
            <w14:solidFill>
              <w14:schemeClr w14:val="tx1"/>
            </w14:solidFill>
          </w14:textFill>
        </w:rPr>
        <w:t>适用的法律</w:t>
      </w:r>
      <w:bookmarkEnd w:id="163"/>
      <w:bookmarkEnd w:id="164"/>
      <w:bookmarkEnd w:id="165"/>
      <w:bookmarkEnd w:id="166"/>
      <w:bookmarkEnd w:id="167"/>
      <w:bookmarkEnd w:id="168"/>
    </w:p>
    <w:p w14:paraId="29C9FF3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16.1合同使用汉语书就</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变更和解释</w:t>
      </w:r>
      <w:r>
        <w:rPr>
          <w:rFonts w:hint="eastAsia" w:ascii="宋体" w:hAnsi="宋体" w:eastAsia="宋体" w:cs="Times New Roman"/>
          <w:color w:val="000000" w:themeColor="text1"/>
          <w:sz w:val="24"/>
          <w:szCs w:val="24"/>
          <w:highlight w:val="none"/>
          <w14:textFill>
            <w14:solidFill>
              <w14:schemeClr w14:val="tx1"/>
            </w14:solidFill>
          </w14:textFill>
        </w:rPr>
        <w:t>；</w:t>
      </w:r>
    </w:p>
    <w:p w14:paraId="4551D5A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16</w:t>
      </w:r>
      <w:r>
        <w:rPr>
          <w:rFonts w:hint="eastAsia" w:ascii="宋体" w:hAnsi="宋体" w:eastAsia="宋体" w:cs="Times New Roman"/>
          <w:color w:val="000000" w:themeColor="text1"/>
          <w:sz w:val="24"/>
          <w:szCs w:val="24"/>
          <w:highlight w:val="none"/>
          <w14:textFill>
            <w14:solidFill>
              <w14:schemeClr w14:val="tx1"/>
            </w14:solidFill>
          </w14:textFill>
        </w:rPr>
        <w:t>.2合同适用</w:t>
      </w:r>
      <w:r>
        <w:rPr>
          <w:rFonts w:ascii="宋体" w:hAnsi="宋体" w:eastAsia="宋体" w:cs="Times New Roman"/>
          <w:color w:val="000000" w:themeColor="text1"/>
          <w:sz w:val="24"/>
          <w:szCs w:val="24"/>
          <w:highlight w:val="none"/>
          <w14:textFill>
            <w14:solidFill>
              <w14:schemeClr w14:val="tx1"/>
            </w14:solidFill>
          </w14:textFill>
        </w:rPr>
        <w:t>中华人民共和国法律。</w:t>
      </w:r>
    </w:p>
    <w:p w14:paraId="6F7F13C1">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69" w:name="_Toc3148"/>
      <w:bookmarkStart w:id="170" w:name="_Toc259093693"/>
      <w:bookmarkStart w:id="171" w:name="_Toc279701264"/>
      <w:bookmarkStart w:id="172" w:name="_Toc12004"/>
      <w:bookmarkStart w:id="173" w:name="_Toc16673"/>
      <w:bookmarkStart w:id="174" w:name="_Toc487900374"/>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17履约保证金</w:t>
      </w:r>
      <w:bookmarkEnd w:id="169"/>
      <w:bookmarkEnd w:id="170"/>
      <w:bookmarkEnd w:id="171"/>
      <w:bookmarkEnd w:id="172"/>
      <w:bookmarkEnd w:id="173"/>
    </w:p>
    <w:p w14:paraId="7925BF0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w:t>
      </w:r>
      <w:r>
        <w:rPr>
          <w:rFonts w:hint="eastAsia" w:ascii="宋体" w:hAnsi="宋体" w:eastAsia="宋体" w:cs="Times New Roman"/>
          <w:color w:val="000000" w:themeColor="text1"/>
          <w:sz w:val="24"/>
          <w:szCs w:val="24"/>
          <w:highlight w:val="none"/>
          <w14:textFill>
            <w14:solidFill>
              <w14:schemeClr w14:val="tx1"/>
            </w14:solidFill>
          </w14:textFill>
        </w:rPr>
        <w:t>.1采购文件要求乙方提交履约保证金的，乙方</w:t>
      </w:r>
      <w:r>
        <w:rPr>
          <w:rFonts w:ascii="宋体" w:hAnsi="宋体" w:eastAsia="宋体" w:cs="Times New Roman"/>
          <w:color w:val="000000" w:themeColor="text1"/>
          <w:sz w:val="24"/>
          <w:szCs w:val="24"/>
          <w:highlight w:val="none"/>
          <w14:textFill>
            <w14:solidFill>
              <w14:schemeClr w14:val="tx1"/>
            </w14:solidFill>
          </w14:textFill>
        </w:rPr>
        <w:t>应按</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约定的方式</w:t>
      </w:r>
      <w:r>
        <w:rPr>
          <w:rFonts w:hint="eastAsia" w:ascii="宋体" w:hAnsi="宋体" w:eastAsia="宋体" w:cs="Times New Roman"/>
          <w:color w:val="000000" w:themeColor="text1"/>
          <w:sz w:val="24"/>
          <w:szCs w:val="24"/>
          <w:highlight w:val="none"/>
          <w14:textFill>
            <w14:solidFill>
              <w14:schemeClr w14:val="tx1"/>
            </w14:solidFill>
          </w14:textFill>
        </w:rPr>
        <w:t>，以支票、汇票、本票或者金融机构、担保机构出具的保函等非现金形式提交；</w:t>
      </w:r>
    </w:p>
    <w:p w14:paraId="381D9F2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17.2履约保证金在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约定期间内不予退还或者应完全有效</w:t>
      </w:r>
      <w:r>
        <w:rPr>
          <w:rFonts w:hint="eastAsia" w:ascii="宋体" w:hAnsi="宋体" w:eastAsia="宋体" w:cs="Times New Roman"/>
          <w:color w:val="000000" w:themeColor="text1"/>
          <w:sz w:val="24"/>
          <w:szCs w:val="24"/>
          <w:highlight w:val="none"/>
          <w14:textFill>
            <w14:solidFill>
              <w14:schemeClr w14:val="tx1"/>
            </w14:solidFill>
          </w14:textFill>
        </w:rPr>
        <w:t>，前述约定期间届满</w:t>
      </w:r>
      <w:r>
        <w:rPr>
          <w:rFonts w:ascii="宋体" w:hAnsi="宋体" w:eastAsia="宋体" w:cs="Times New Roman"/>
          <w:color w:val="000000" w:themeColor="text1"/>
          <w:sz w:val="24"/>
          <w:szCs w:val="24"/>
          <w:highlight w:val="none"/>
          <w14:textFill>
            <w14:solidFill>
              <w14:schemeClr w14:val="tx1"/>
            </w14:solidFill>
          </w14:textFill>
        </w:rPr>
        <w:t>之日起</w:t>
      </w:r>
      <w:r>
        <w:rPr>
          <w:rFonts w:hint="eastAsia" w:ascii="宋体" w:hAnsi="宋体" w:eastAsia="宋体" w:cs="Times New Roman"/>
          <w:color w:val="000000" w:themeColor="text1"/>
          <w:sz w:val="24"/>
          <w:szCs w:val="24"/>
          <w:highlight w:val="none"/>
          <w14:textFill>
            <w14:solidFill>
              <w14:schemeClr w14:val="tx1"/>
            </w14:solidFill>
          </w14:textFill>
        </w:rPr>
        <w:t>个</w:t>
      </w:r>
      <w:r>
        <w:rPr>
          <w:rFonts w:ascii="宋体" w:hAnsi="宋体" w:eastAsia="宋体" w:cs="Times New Roman"/>
          <w:color w:val="000000" w:themeColor="text1"/>
          <w:sz w:val="24"/>
          <w:szCs w:val="24"/>
          <w:highlight w:val="none"/>
          <w14:textFill>
            <w14:solidFill>
              <w14:schemeClr w14:val="tx1"/>
            </w14:solidFill>
          </w14:textFill>
        </w:rPr>
        <w:t>工作日内，甲方应将履约保证金退还乙方</w:t>
      </w:r>
      <w:r>
        <w:rPr>
          <w:rFonts w:hint="eastAsia" w:ascii="宋体" w:hAnsi="宋体" w:eastAsia="宋体" w:cs="Times New Roman"/>
          <w:color w:val="000000" w:themeColor="text1"/>
          <w:sz w:val="24"/>
          <w:szCs w:val="24"/>
          <w:highlight w:val="none"/>
          <w14:textFill>
            <w14:solidFill>
              <w14:schemeClr w14:val="tx1"/>
            </w14:solidFill>
          </w14:textFill>
        </w:rPr>
        <w:t>，甲方逾期退还履约保证金应承担违约责任。</w:t>
      </w:r>
    </w:p>
    <w:p w14:paraId="636F2C2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w:t>
      </w:r>
      <w:r>
        <w:rPr>
          <w:rFonts w:hint="eastAsia" w:ascii="宋体" w:hAnsi="宋体" w:eastAsia="宋体" w:cs="Times New Roman"/>
          <w:color w:val="000000" w:themeColor="text1"/>
          <w:sz w:val="24"/>
          <w:szCs w:val="24"/>
          <w:highlight w:val="none"/>
          <w14:textFill>
            <w14:solidFill>
              <w14:schemeClr w14:val="tx1"/>
            </w14:solidFill>
          </w14:textFill>
        </w:rPr>
        <w:t>.3</w:t>
      </w:r>
      <w:r>
        <w:rPr>
          <w:rFonts w:ascii="宋体" w:hAnsi="宋体" w:eastAsia="宋体" w:cs="Times New Roman"/>
          <w:color w:val="000000" w:themeColor="text1"/>
          <w:sz w:val="24"/>
          <w:szCs w:val="24"/>
          <w:highlight w:val="none"/>
          <w14:textFill>
            <w14:solidFill>
              <w14:schemeClr w14:val="tx1"/>
            </w14:solidFill>
          </w14:textFill>
        </w:rPr>
        <w:t>如果乙方不履行合同</w:t>
      </w:r>
      <w:r>
        <w:rPr>
          <w:rFonts w:hint="eastAsia" w:ascii="宋体" w:hAnsi="宋体" w:eastAsia="宋体" w:cs="Times New Roman"/>
          <w:color w:val="000000" w:themeColor="text1"/>
          <w:sz w:val="24"/>
          <w:szCs w:val="24"/>
          <w:highlight w:val="none"/>
          <w14:textFill>
            <w14:solidFill>
              <w14:schemeClr w14:val="tx1"/>
            </w14:solidFill>
          </w14:textFill>
        </w:rPr>
        <w:t>，履约保证金不予退还；如果乙方</w:t>
      </w:r>
      <w:r>
        <w:rPr>
          <w:rFonts w:ascii="宋体" w:hAnsi="宋体" w:eastAsia="宋体" w:cs="Times New Roman"/>
          <w:color w:val="000000" w:themeColor="text1"/>
          <w:sz w:val="24"/>
          <w:szCs w:val="24"/>
          <w:highlight w:val="none"/>
          <w14:textFill>
            <w14:solidFill>
              <w14:schemeClr w14:val="tx1"/>
            </w14:solidFill>
          </w14:textFill>
        </w:rPr>
        <w:t>未能按合同</w:t>
      </w:r>
      <w:r>
        <w:rPr>
          <w:rFonts w:hint="eastAsia" w:ascii="宋体" w:hAnsi="宋体" w:eastAsia="宋体" w:cs="Times New Roman"/>
          <w:color w:val="000000" w:themeColor="text1"/>
          <w:sz w:val="24"/>
          <w:szCs w:val="24"/>
          <w:highlight w:val="none"/>
          <w14:textFill>
            <w14:solidFill>
              <w14:schemeClr w14:val="tx1"/>
            </w14:solidFill>
          </w14:textFill>
        </w:rPr>
        <w:t>约</w:t>
      </w:r>
      <w:r>
        <w:rPr>
          <w:rFonts w:ascii="宋体" w:hAnsi="宋体" w:eastAsia="宋体" w:cs="Times New Roman"/>
          <w:color w:val="000000" w:themeColor="text1"/>
          <w:sz w:val="24"/>
          <w:szCs w:val="24"/>
          <w:highlight w:val="none"/>
          <w14:textFill>
            <w14:solidFill>
              <w14:schemeClr w14:val="tx1"/>
            </w14:solidFill>
          </w14:textFill>
        </w:rPr>
        <w:t>定全面履行义务，那么甲方有权从履约保证金中取得补偿或赔偿</w:t>
      </w:r>
      <w:r>
        <w:rPr>
          <w:rFonts w:hint="eastAsia" w:ascii="宋体" w:hAnsi="宋体" w:eastAsia="宋体" w:cs="Times New Roman"/>
          <w:color w:val="000000" w:themeColor="text1"/>
          <w:sz w:val="24"/>
          <w:szCs w:val="24"/>
          <w:highlight w:val="none"/>
          <w14:textFill>
            <w14:solidFill>
              <w14:schemeClr w14:val="tx1"/>
            </w14:solidFill>
          </w14:textFill>
        </w:rPr>
        <w:t>，同时不影响甲方要求乙方承担合同约定的超过履约保证金的违约责任的权利。</w:t>
      </w:r>
    </w:p>
    <w:bookmarkEnd w:id="174"/>
    <w:p w14:paraId="3AFE9D1B">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75" w:name="_Toc6885"/>
      <w:bookmarkStart w:id="176" w:name="_Toc19890"/>
      <w:bookmarkStart w:id="177" w:name="_Toc14001"/>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18</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合同份数</w:t>
      </w:r>
      <w:bookmarkEnd w:id="175"/>
      <w:bookmarkEnd w:id="176"/>
      <w:bookmarkEnd w:id="177"/>
    </w:p>
    <w:p w14:paraId="54DDD7B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合同份数按</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规定</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每份均具有同等法律效力</w:t>
      </w:r>
      <w:r>
        <w:rPr>
          <w:rFonts w:hint="eastAsia" w:ascii="宋体" w:hAnsi="宋体" w:eastAsia="宋体" w:cs="Times New Roman"/>
          <w:color w:val="000000" w:themeColor="text1"/>
          <w:sz w:val="24"/>
          <w:szCs w:val="24"/>
          <w:highlight w:val="none"/>
          <w14:textFill>
            <w14:solidFill>
              <w14:schemeClr w14:val="tx1"/>
            </w14:solidFill>
          </w14:textFill>
        </w:rPr>
        <w:t>。</w:t>
      </w:r>
    </w:p>
    <w:p w14:paraId="5DA98F8C">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br w:type="page"/>
      </w:r>
      <w:bookmarkStart w:id="178" w:name="_Toc24967"/>
      <w:bookmarkStart w:id="179" w:name="_Toc3736"/>
      <w:r>
        <w:rPr>
          <w:rFonts w:hint="eastAsia" w:ascii="宋体" w:hAnsi="宋体" w:eastAsia="宋体"/>
          <w:b/>
          <w:color w:val="000000" w:themeColor="text1"/>
          <w:sz w:val="24"/>
          <w:highlight w:val="none"/>
          <w14:textFill>
            <w14:solidFill>
              <w14:schemeClr w14:val="tx1"/>
            </w14:solidFill>
          </w14:textFill>
        </w:rPr>
        <w:t>第三部分合同专用条款</w:t>
      </w:r>
      <w:bookmarkEnd w:id="178"/>
      <w:bookmarkEnd w:id="179"/>
    </w:p>
    <w:p w14:paraId="4CF4E8AB">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本部分</w:t>
      </w:r>
      <w:r>
        <w:rPr>
          <w:rFonts w:ascii="宋体" w:hAnsi="宋体" w:eastAsia="宋体" w:cs="Times New Roman"/>
          <w:color w:val="000000" w:themeColor="text1"/>
          <w:sz w:val="24"/>
          <w:szCs w:val="24"/>
          <w:highlight w:val="none"/>
          <w14:textFill>
            <w14:solidFill>
              <w14:schemeClr w14:val="tx1"/>
            </w14:solidFill>
          </w14:textFill>
        </w:rPr>
        <w:t>是对</w:t>
      </w:r>
      <w:r>
        <w:rPr>
          <w:rFonts w:hint="eastAsia" w:ascii="宋体" w:hAnsi="宋体" w:eastAsia="宋体" w:cs="Times New Roman"/>
          <w:color w:val="000000" w:themeColor="text1"/>
          <w:sz w:val="24"/>
          <w:szCs w:val="24"/>
          <w:highlight w:val="none"/>
          <w14:textFill>
            <w14:solidFill>
              <w14:schemeClr w14:val="tx1"/>
            </w14:solidFill>
          </w14:textFill>
        </w:rPr>
        <w:t>前两</w:t>
      </w:r>
      <w:r>
        <w:rPr>
          <w:rFonts w:ascii="宋体" w:hAnsi="宋体" w:eastAsia="宋体" w:cs="Times New Roman"/>
          <w:color w:val="000000" w:themeColor="text1"/>
          <w:sz w:val="24"/>
          <w:szCs w:val="24"/>
          <w:highlight w:val="none"/>
          <w14:textFill>
            <w14:solidFill>
              <w14:schemeClr w14:val="tx1"/>
            </w14:solidFill>
          </w14:textFill>
        </w:rPr>
        <w:t>部分的补充和修改</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w:t>
      </w:r>
      <w:r>
        <w:rPr>
          <w:rFonts w:hint="eastAsia" w:ascii="宋体" w:hAnsi="宋体" w:eastAsia="宋体" w:cs="Times New Roman"/>
          <w:color w:val="000000" w:themeColor="text1"/>
          <w:sz w:val="24"/>
          <w:szCs w:val="24"/>
          <w:highlight w:val="none"/>
          <w14:textFill>
            <w14:solidFill>
              <w14:schemeClr w14:val="tx1"/>
            </w14:solidFill>
          </w14:textFill>
        </w:rPr>
        <w:t>前两</w:t>
      </w:r>
      <w:r>
        <w:rPr>
          <w:rFonts w:ascii="宋体" w:hAnsi="宋体" w:eastAsia="宋体" w:cs="Times New Roman"/>
          <w:color w:val="000000" w:themeColor="text1"/>
          <w:sz w:val="24"/>
          <w:szCs w:val="24"/>
          <w:highlight w:val="none"/>
          <w14:textFill>
            <w14:solidFill>
              <w14:schemeClr w14:val="tx1"/>
            </w14:solidFill>
          </w14:textFill>
        </w:rPr>
        <w:t>部分和本部分的约定不一致</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应以本部分的约定为准</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本部分的条款号应与</w:t>
      </w:r>
      <w:r>
        <w:rPr>
          <w:rFonts w:hint="eastAsia" w:ascii="宋体" w:hAnsi="宋体" w:eastAsia="宋体" w:cs="Times New Roman"/>
          <w:color w:val="000000" w:themeColor="text1"/>
          <w:sz w:val="24"/>
          <w:szCs w:val="24"/>
          <w:highlight w:val="none"/>
          <w14:textFill>
            <w14:solidFill>
              <w14:schemeClr w14:val="tx1"/>
            </w14:solidFill>
          </w14:textFill>
        </w:rPr>
        <w:t>前两部分</w:t>
      </w:r>
      <w:r>
        <w:rPr>
          <w:rFonts w:ascii="宋体" w:hAnsi="宋体" w:eastAsia="宋体" w:cs="Times New Roman"/>
          <w:color w:val="000000" w:themeColor="text1"/>
          <w:sz w:val="24"/>
          <w:szCs w:val="24"/>
          <w:highlight w:val="none"/>
          <w14:textFill>
            <w14:solidFill>
              <w14:schemeClr w14:val="tx1"/>
            </w14:solidFill>
          </w14:textFill>
        </w:rPr>
        <w:t>的条款号保持对应</w:t>
      </w:r>
      <w:r>
        <w:rPr>
          <w:rFonts w:hint="eastAsia" w:ascii="宋体" w:hAnsi="宋体" w:eastAsia="宋体" w:cs="Times New Roman"/>
          <w:color w:val="000000" w:themeColor="text1"/>
          <w:sz w:val="24"/>
          <w:szCs w:val="24"/>
          <w:highlight w:val="none"/>
          <w14:textFill>
            <w14:solidFill>
              <w14:schemeClr w14:val="tx1"/>
            </w14:solidFill>
          </w14:textFill>
        </w:rPr>
        <w:t>；与前两部分</w:t>
      </w:r>
      <w:r>
        <w:rPr>
          <w:rFonts w:ascii="宋体" w:hAnsi="宋体" w:eastAsia="宋体" w:cs="Times New Roman"/>
          <w:color w:val="000000" w:themeColor="text1"/>
          <w:sz w:val="24"/>
          <w:szCs w:val="24"/>
          <w:highlight w:val="none"/>
          <w14:textFill>
            <w14:solidFill>
              <w14:schemeClr w14:val="tx1"/>
            </w14:solidFill>
          </w14:textFill>
        </w:rPr>
        <w:t>无对应关系的内容可另行编制条款号</w:t>
      </w:r>
      <w:r>
        <w:rPr>
          <w:rFonts w:hint="eastAsia" w:ascii="宋体" w:hAnsi="宋体" w:eastAsia="宋体" w:cs="Times New Roman"/>
          <w:color w:val="000000" w:themeColor="text1"/>
          <w:sz w:val="24"/>
          <w:szCs w:val="24"/>
          <w:highlight w:val="none"/>
          <w14:textFill>
            <w14:solidFill>
              <w14:schemeClr w14:val="tx1"/>
            </w14:solidFill>
          </w14:textFill>
        </w:rPr>
        <w:t>。</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3AABD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6A8EB6CB">
            <w:pPr>
              <w:keepNext w:val="0"/>
              <w:keepLines w:val="0"/>
              <w:suppressLineNumbers w:val="0"/>
              <w:spacing w:before="0" w:beforeAutospacing="0" w:after="0" w:afterAutospacing="0"/>
              <w:ind w:left="0" w:right="0"/>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default" w:ascii="宋体" w:hAnsi="宋体" w:eastAsia="宋体" w:cs="Times New Roman"/>
                <w:b/>
                <w:color w:val="000000" w:themeColor="text1"/>
                <w:sz w:val="24"/>
                <w:szCs w:val="24"/>
                <w:highlight w:val="none"/>
                <w14:textFill>
                  <w14:solidFill>
                    <w14:schemeClr w14:val="tx1"/>
                  </w14:solidFill>
                </w14:textFill>
              </w:rPr>
              <w:t>条款号</w:t>
            </w:r>
          </w:p>
        </w:tc>
        <w:tc>
          <w:tcPr>
            <w:tcW w:w="7568" w:type="dxa"/>
            <w:vAlign w:val="center"/>
          </w:tcPr>
          <w:p w14:paraId="00077F50">
            <w:pPr>
              <w:keepNext w:val="0"/>
              <w:keepLines w:val="0"/>
              <w:suppressLineNumbers w:val="0"/>
              <w:spacing w:before="0" w:beforeAutospacing="0" w:after="0" w:afterAutospacing="0"/>
              <w:ind w:left="0" w:right="0"/>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default" w:ascii="宋体" w:hAnsi="宋体" w:eastAsia="宋体" w:cs="Times New Roman"/>
                <w:b/>
                <w:color w:val="000000" w:themeColor="text1"/>
                <w:sz w:val="24"/>
                <w:szCs w:val="24"/>
                <w:highlight w:val="none"/>
                <w14:textFill>
                  <w14:solidFill>
                    <w14:schemeClr w14:val="tx1"/>
                  </w14:solidFill>
                </w14:textFill>
              </w:rPr>
              <w:t>约定内容</w:t>
            </w:r>
          </w:p>
        </w:tc>
      </w:tr>
      <w:tr w14:paraId="03B06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6CD68731">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7D0D5630">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148E1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1254A6F">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2EA53FD2">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0C045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A20F822">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4DDC004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44C34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E5F20C8">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42795BCB">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618CF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320E0B9">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6F59C2A4">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u w:val="single"/>
                <w14:textFill>
                  <w14:solidFill>
                    <w14:schemeClr w14:val="tx1"/>
                  </w14:solidFill>
                </w14:textFill>
              </w:rPr>
            </w:pPr>
          </w:p>
        </w:tc>
      </w:tr>
      <w:tr w14:paraId="072E1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82907E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5921F7D9">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4D5C1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E3FB14C">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3C81746C">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u w:val="single"/>
                <w14:textFill>
                  <w14:solidFill>
                    <w14:schemeClr w14:val="tx1"/>
                  </w14:solidFill>
                </w14:textFill>
              </w:rPr>
            </w:pPr>
          </w:p>
        </w:tc>
      </w:tr>
      <w:tr w14:paraId="57F34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0B08C4F">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7003AC3B">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290FD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AAEBF0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0CE42FF1">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50E64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FEB4663">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5FF83A6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22A3E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D690BDA">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31F86E15">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30E13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48EAAFB">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70420C5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bl>
    <w:p w14:paraId="4B7839E6">
      <w:pPr>
        <w:spacing w:line="360" w:lineRule="auto"/>
        <w:rPr>
          <w:rFonts w:hint="eastAsia" w:ascii="宋体" w:hAnsi="宋体" w:eastAsia="宋体"/>
          <w:color w:val="000000" w:themeColor="text1"/>
          <w:sz w:val="24"/>
          <w:highlight w:val="none"/>
          <w14:textFill>
            <w14:solidFill>
              <w14:schemeClr w14:val="tx1"/>
            </w14:solidFill>
          </w14:textFill>
        </w:rPr>
      </w:pPr>
    </w:p>
    <w:p w14:paraId="00932A7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bookmarkEnd w:id="39"/>
    <w:p w14:paraId="77F8C984">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180" w:name="_Toc22492"/>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193A8B8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180"/>
    </w:p>
    <w:p w14:paraId="3E433C93">
      <w:pPr>
        <w:spacing w:line="900" w:lineRule="exact"/>
        <w:jc w:val="center"/>
        <w:rPr>
          <w:rFonts w:ascii="宋体" w:hAnsi="宋体" w:eastAsia="宋体"/>
          <w:b/>
          <w:color w:val="auto"/>
          <w:sz w:val="72"/>
          <w:highlight w:val="none"/>
        </w:rPr>
      </w:pPr>
    </w:p>
    <w:p w14:paraId="3C28DC8F">
      <w:pPr>
        <w:spacing w:line="900" w:lineRule="exact"/>
        <w:jc w:val="center"/>
        <w:outlineLvl w:val="1"/>
        <w:rPr>
          <w:rFonts w:ascii="宋体" w:hAnsi="宋体" w:eastAsia="宋体"/>
          <w:b/>
          <w:color w:val="auto"/>
          <w:sz w:val="72"/>
          <w:highlight w:val="none"/>
        </w:rPr>
      </w:pPr>
      <w:bookmarkStart w:id="181" w:name="_Toc651"/>
      <w:r>
        <w:rPr>
          <w:rFonts w:hint="eastAsia" w:ascii="宋体" w:hAnsi="宋体" w:eastAsia="宋体"/>
          <w:b/>
          <w:color w:val="auto"/>
          <w:sz w:val="72"/>
          <w:highlight w:val="none"/>
        </w:rPr>
        <w:t>投</w:t>
      </w:r>
      <w:bookmarkEnd w:id="181"/>
    </w:p>
    <w:p w14:paraId="4D585C6C">
      <w:pPr>
        <w:spacing w:line="900" w:lineRule="exact"/>
        <w:jc w:val="center"/>
        <w:rPr>
          <w:rFonts w:ascii="宋体" w:hAnsi="宋体" w:eastAsia="宋体"/>
          <w:b/>
          <w:color w:val="auto"/>
          <w:sz w:val="72"/>
          <w:highlight w:val="none"/>
        </w:rPr>
      </w:pPr>
    </w:p>
    <w:p w14:paraId="5CF65A1C">
      <w:pPr>
        <w:spacing w:line="900" w:lineRule="exact"/>
        <w:jc w:val="center"/>
        <w:outlineLvl w:val="1"/>
        <w:rPr>
          <w:rFonts w:ascii="宋体" w:hAnsi="宋体" w:eastAsia="宋体"/>
          <w:b/>
          <w:color w:val="auto"/>
          <w:sz w:val="72"/>
          <w:highlight w:val="none"/>
        </w:rPr>
      </w:pPr>
      <w:bookmarkStart w:id="182" w:name="_Toc6148"/>
      <w:r>
        <w:rPr>
          <w:rFonts w:hint="eastAsia" w:ascii="宋体" w:hAnsi="宋体" w:eastAsia="宋体"/>
          <w:b/>
          <w:color w:val="auto"/>
          <w:sz w:val="72"/>
          <w:highlight w:val="none"/>
        </w:rPr>
        <w:t>标</w:t>
      </w:r>
      <w:bookmarkEnd w:id="182"/>
    </w:p>
    <w:p w14:paraId="2B109CCE">
      <w:pPr>
        <w:spacing w:line="900" w:lineRule="exact"/>
        <w:jc w:val="center"/>
        <w:rPr>
          <w:rFonts w:ascii="宋体" w:hAnsi="宋体" w:eastAsia="宋体"/>
          <w:b/>
          <w:color w:val="auto"/>
          <w:sz w:val="72"/>
          <w:highlight w:val="none"/>
        </w:rPr>
      </w:pPr>
    </w:p>
    <w:p w14:paraId="28BDF78C">
      <w:pPr>
        <w:spacing w:line="900" w:lineRule="exact"/>
        <w:jc w:val="center"/>
        <w:outlineLvl w:val="1"/>
        <w:rPr>
          <w:rFonts w:ascii="宋体" w:hAnsi="宋体" w:eastAsia="宋体"/>
          <w:b/>
          <w:color w:val="auto"/>
          <w:sz w:val="72"/>
          <w:highlight w:val="none"/>
        </w:rPr>
      </w:pPr>
      <w:bookmarkStart w:id="183" w:name="_Toc1338"/>
      <w:r>
        <w:rPr>
          <w:rFonts w:hint="eastAsia" w:ascii="宋体" w:hAnsi="宋体" w:eastAsia="宋体"/>
          <w:b/>
          <w:color w:val="auto"/>
          <w:sz w:val="72"/>
          <w:highlight w:val="none"/>
        </w:rPr>
        <w:t>文</w:t>
      </w:r>
      <w:bookmarkEnd w:id="183"/>
    </w:p>
    <w:p w14:paraId="422F9632">
      <w:pPr>
        <w:spacing w:line="900" w:lineRule="exact"/>
        <w:jc w:val="center"/>
        <w:rPr>
          <w:rFonts w:ascii="宋体" w:hAnsi="宋体" w:eastAsia="宋体"/>
          <w:b/>
          <w:color w:val="auto"/>
          <w:sz w:val="72"/>
          <w:highlight w:val="none"/>
        </w:rPr>
      </w:pPr>
    </w:p>
    <w:p w14:paraId="4B247CCA">
      <w:pPr>
        <w:jc w:val="center"/>
        <w:outlineLvl w:val="1"/>
        <w:rPr>
          <w:rFonts w:ascii="宋体" w:hAnsi="宋体" w:eastAsia="宋体"/>
          <w:b/>
          <w:color w:val="auto"/>
          <w:sz w:val="72"/>
          <w:highlight w:val="none"/>
        </w:rPr>
      </w:pPr>
      <w:bookmarkStart w:id="184" w:name="_Toc10796"/>
      <w:r>
        <w:rPr>
          <w:rFonts w:hint="eastAsia" w:ascii="宋体" w:hAnsi="宋体" w:eastAsia="宋体"/>
          <w:b/>
          <w:color w:val="auto"/>
          <w:sz w:val="72"/>
          <w:highlight w:val="none"/>
        </w:rPr>
        <w:t>件</w:t>
      </w:r>
      <w:bookmarkEnd w:id="184"/>
    </w:p>
    <w:p w14:paraId="13D2461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6176A7CD">
      <w:pPr>
        <w:spacing w:after="156" w:afterLines="50" w:line="500" w:lineRule="exact"/>
        <w:jc w:val="center"/>
        <w:rPr>
          <w:rFonts w:ascii="宋体" w:hAnsi="宋体" w:eastAsia="宋体"/>
          <w:b/>
          <w:color w:val="auto"/>
          <w:sz w:val="28"/>
          <w:szCs w:val="28"/>
          <w:highlight w:val="none"/>
        </w:rPr>
      </w:pPr>
    </w:p>
    <w:p w14:paraId="16A88AF1">
      <w:pPr>
        <w:tabs>
          <w:tab w:val="left" w:pos="2410"/>
        </w:tabs>
        <w:autoSpaceDE w:val="0"/>
        <w:autoSpaceDN w:val="0"/>
        <w:adjustRightInd w:val="0"/>
        <w:snapToGrid w:val="0"/>
        <w:spacing w:line="360" w:lineRule="auto"/>
        <w:ind w:firstLine="964" w:firstLineChars="3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964" w:firstLineChars="3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964" w:firstLineChars="3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F57AC4">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bookmarkStart w:id="185" w:name="_Toc8037"/>
      <w:bookmarkStart w:id="186"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185"/>
      <w:bookmarkEnd w:id="186"/>
    </w:p>
    <w:p w14:paraId="039F80FC">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176CB01B">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73D0371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（1）授权书；（格式见附件）</w:t>
      </w:r>
    </w:p>
    <w:p w14:paraId="3A131FAA">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（2）营业执照等证明文件；</w:t>
      </w:r>
    </w:p>
    <w:p w14:paraId="6EBCB13E">
      <w:pPr>
        <w:numPr>
          <w:ilvl w:val="0"/>
          <w:numId w:val="0"/>
        </w:num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（3）具有有效期内的辐射安全许可证，种类和范围包含使用Ⅱ类射线装置；</w:t>
      </w:r>
    </w:p>
    <w:p w14:paraId="3C70040C">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（4）投标人资格声明书；（格式见附件）</w:t>
      </w:r>
    </w:p>
    <w:p w14:paraId="113C7A74">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47A9E20C">
      <w:pPr>
        <w:numPr>
          <w:ilvl w:val="0"/>
          <w:numId w:val="0"/>
        </w:num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（6）采购需求中要求提供的承诺书（格式自拟）及要求提供的相关证明材料；</w:t>
      </w:r>
    </w:p>
    <w:p w14:paraId="3C9A94D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（7）投标人认为需要提供的其他资信材料。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b/>
          <w:color w:val="auto"/>
          <w:sz w:val="24"/>
          <w:highlight w:val="none"/>
          <w:lang w:val="en-US" w:eastAsia="zh-CN"/>
        </w:rPr>
      </w:pPr>
    </w:p>
    <w:p w14:paraId="25CB2843">
      <w:pPr>
        <w:spacing w:line="360" w:lineRule="auto"/>
        <w:jc w:val="center"/>
        <w:outlineLvl w:val="1"/>
        <w:rPr>
          <w:rFonts w:hint="eastAsia" w:ascii="宋体" w:hAnsi="宋体" w:eastAsia="宋体"/>
          <w:b/>
          <w:color w:val="auto"/>
          <w:sz w:val="24"/>
          <w:highlight w:val="none"/>
          <w:lang w:val="en-US" w:eastAsia="zh-CN"/>
        </w:rPr>
      </w:pPr>
    </w:p>
    <w:p w14:paraId="7CC5EEBB">
      <w:pPr>
        <w:spacing w:line="360" w:lineRule="auto"/>
        <w:jc w:val="center"/>
        <w:outlineLvl w:val="1"/>
        <w:rPr>
          <w:rFonts w:hint="eastAsia" w:ascii="宋体" w:hAnsi="宋体" w:eastAsia="宋体"/>
          <w:b/>
          <w:color w:val="auto"/>
          <w:sz w:val="24"/>
          <w:highlight w:val="none"/>
          <w:lang w:val="en-US" w:eastAsia="zh-CN"/>
        </w:rPr>
      </w:pPr>
    </w:p>
    <w:p w14:paraId="79270BAF">
      <w:pPr>
        <w:spacing w:line="360" w:lineRule="auto"/>
        <w:jc w:val="center"/>
        <w:outlineLvl w:val="1"/>
        <w:rPr>
          <w:rFonts w:hint="eastAsia" w:ascii="宋体" w:hAnsi="宋体" w:eastAsia="宋体"/>
          <w:b/>
          <w:color w:val="auto"/>
          <w:sz w:val="24"/>
          <w:highlight w:val="none"/>
          <w:lang w:val="en-US" w:eastAsia="zh-CN"/>
        </w:rPr>
      </w:pPr>
    </w:p>
    <w:p w14:paraId="37ED34A9">
      <w:pPr>
        <w:spacing w:line="360" w:lineRule="auto"/>
        <w:jc w:val="center"/>
        <w:outlineLvl w:val="1"/>
        <w:rPr>
          <w:rFonts w:hint="eastAsia" w:ascii="宋体" w:hAnsi="宋体" w:eastAsia="宋体"/>
          <w:b/>
          <w:color w:val="auto"/>
          <w:sz w:val="24"/>
          <w:highlight w:val="none"/>
          <w:lang w:val="en-US" w:eastAsia="zh-CN"/>
        </w:rPr>
      </w:pPr>
    </w:p>
    <w:p w14:paraId="254CC49F">
      <w:pPr>
        <w:spacing w:line="360" w:lineRule="auto"/>
        <w:jc w:val="center"/>
        <w:outlineLvl w:val="1"/>
        <w:rPr>
          <w:rFonts w:hint="eastAsia" w:ascii="宋体" w:hAnsi="宋体" w:eastAsia="宋体"/>
          <w:b/>
          <w:color w:val="auto"/>
          <w:sz w:val="24"/>
          <w:highlight w:val="none"/>
          <w:lang w:val="en-US" w:eastAsia="zh-CN"/>
        </w:rPr>
      </w:pPr>
    </w:p>
    <w:p w14:paraId="0EC49723">
      <w:pPr>
        <w:spacing w:line="360" w:lineRule="auto"/>
        <w:jc w:val="center"/>
        <w:outlineLvl w:val="1"/>
        <w:rPr>
          <w:rFonts w:hint="eastAsia" w:ascii="宋体" w:hAnsi="宋体" w:eastAsia="宋体"/>
          <w:b/>
          <w:color w:val="auto"/>
          <w:sz w:val="24"/>
          <w:highlight w:val="none"/>
          <w:lang w:val="en-US" w:eastAsia="zh-CN"/>
        </w:rPr>
      </w:pPr>
    </w:p>
    <w:p w14:paraId="4DF0BA08">
      <w:pPr>
        <w:spacing w:line="360" w:lineRule="auto"/>
        <w:jc w:val="center"/>
        <w:outlineLvl w:val="1"/>
        <w:rPr>
          <w:rFonts w:hint="eastAsia" w:ascii="宋体" w:hAnsi="宋体" w:eastAsia="宋体"/>
          <w:b/>
          <w:color w:val="auto"/>
          <w:sz w:val="24"/>
          <w:highlight w:val="none"/>
          <w:lang w:val="en-US" w:eastAsia="zh-CN"/>
        </w:rPr>
      </w:pPr>
    </w:p>
    <w:p w14:paraId="66974724">
      <w:pPr>
        <w:spacing w:line="360" w:lineRule="auto"/>
        <w:jc w:val="center"/>
        <w:outlineLvl w:val="1"/>
        <w:rPr>
          <w:rFonts w:hint="eastAsia" w:ascii="宋体" w:hAnsi="宋体" w:eastAsia="宋体"/>
          <w:b/>
          <w:color w:val="auto"/>
          <w:sz w:val="24"/>
          <w:highlight w:val="none"/>
          <w:lang w:val="en-US" w:eastAsia="zh-CN"/>
        </w:rPr>
      </w:pPr>
    </w:p>
    <w:p w14:paraId="1C6A86ED">
      <w:pPr>
        <w:spacing w:line="360" w:lineRule="auto"/>
        <w:jc w:val="center"/>
        <w:outlineLvl w:val="1"/>
        <w:rPr>
          <w:rFonts w:hint="eastAsia" w:ascii="宋体" w:hAnsi="宋体" w:eastAsia="宋体"/>
          <w:b/>
          <w:color w:val="auto"/>
          <w:sz w:val="24"/>
          <w:highlight w:val="none"/>
          <w:lang w:val="en-US" w:eastAsia="zh-CN"/>
        </w:rPr>
      </w:pPr>
    </w:p>
    <w:p w14:paraId="1F81089E">
      <w:pPr>
        <w:spacing w:line="360" w:lineRule="auto"/>
        <w:jc w:val="center"/>
        <w:outlineLvl w:val="1"/>
        <w:rPr>
          <w:rFonts w:hint="eastAsia" w:ascii="宋体" w:hAnsi="宋体" w:eastAsia="宋体"/>
          <w:b/>
          <w:color w:val="auto"/>
          <w:sz w:val="24"/>
          <w:highlight w:val="none"/>
          <w:lang w:val="en-US" w:eastAsia="zh-CN"/>
        </w:rPr>
      </w:pPr>
    </w:p>
    <w:p w14:paraId="7FBB4C9C">
      <w:pPr>
        <w:spacing w:line="360" w:lineRule="auto"/>
        <w:jc w:val="center"/>
        <w:outlineLvl w:val="1"/>
        <w:rPr>
          <w:rFonts w:hint="eastAsia" w:ascii="宋体" w:hAnsi="宋体" w:eastAsia="宋体"/>
          <w:b/>
          <w:color w:val="auto"/>
          <w:sz w:val="24"/>
          <w:highlight w:val="none"/>
          <w:lang w:val="en-US" w:eastAsia="zh-CN"/>
        </w:rPr>
      </w:pPr>
    </w:p>
    <w:p w14:paraId="2EE0C293">
      <w:pPr>
        <w:spacing w:line="360" w:lineRule="auto"/>
        <w:jc w:val="center"/>
        <w:outlineLvl w:val="1"/>
        <w:rPr>
          <w:rFonts w:hint="eastAsia" w:ascii="宋体" w:hAnsi="宋体" w:eastAsia="宋体"/>
          <w:b/>
          <w:color w:val="auto"/>
          <w:sz w:val="24"/>
          <w:highlight w:val="none"/>
          <w:lang w:val="en-US" w:eastAsia="zh-CN"/>
        </w:rPr>
      </w:pPr>
    </w:p>
    <w:p w14:paraId="3E0ECFB2">
      <w:pPr>
        <w:spacing w:line="360" w:lineRule="auto"/>
        <w:jc w:val="center"/>
        <w:outlineLvl w:val="1"/>
        <w:rPr>
          <w:rFonts w:hint="eastAsia" w:ascii="宋体" w:hAnsi="宋体" w:eastAsia="宋体"/>
          <w:b/>
          <w:color w:val="auto"/>
          <w:sz w:val="24"/>
          <w:highlight w:val="none"/>
          <w:lang w:val="en-US" w:eastAsia="zh-CN"/>
        </w:rPr>
      </w:pPr>
    </w:p>
    <w:p w14:paraId="0A62C811">
      <w:pPr>
        <w:spacing w:line="360" w:lineRule="auto"/>
        <w:jc w:val="center"/>
        <w:outlineLvl w:val="1"/>
        <w:rPr>
          <w:rFonts w:hint="eastAsia" w:ascii="宋体" w:hAnsi="宋体" w:eastAsia="宋体"/>
          <w:b/>
          <w:color w:val="auto"/>
          <w:sz w:val="24"/>
          <w:highlight w:val="none"/>
          <w:lang w:val="en-US" w:eastAsia="zh-CN"/>
        </w:rPr>
      </w:pPr>
    </w:p>
    <w:p w14:paraId="6EAC5289">
      <w:pPr>
        <w:spacing w:line="360" w:lineRule="auto"/>
        <w:jc w:val="center"/>
        <w:outlineLvl w:val="1"/>
        <w:rPr>
          <w:rFonts w:hint="eastAsia" w:ascii="宋体" w:hAnsi="宋体" w:eastAsia="宋体"/>
          <w:b/>
          <w:color w:val="auto"/>
          <w:sz w:val="24"/>
          <w:highlight w:val="none"/>
          <w:lang w:val="en-US" w:eastAsia="zh-CN"/>
        </w:rPr>
      </w:pPr>
    </w:p>
    <w:p w14:paraId="706F5018">
      <w:pPr>
        <w:spacing w:line="360" w:lineRule="auto"/>
        <w:jc w:val="center"/>
        <w:outlineLvl w:val="1"/>
        <w:rPr>
          <w:rFonts w:hint="eastAsia" w:ascii="宋体" w:hAnsi="宋体" w:eastAsia="宋体"/>
          <w:b/>
          <w:color w:val="auto"/>
          <w:sz w:val="24"/>
          <w:highlight w:val="none"/>
          <w:lang w:val="en-US" w:eastAsia="zh-CN"/>
        </w:rPr>
      </w:pPr>
    </w:p>
    <w:p w14:paraId="13533A0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2B17F702">
      <w:pPr>
        <w:pStyle w:val="14"/>
        <w:snapToGrid w:val="0"/>
        <w:spacing w:line="360" w:lineRule="auto"/>
        <w:ind w:firstLine="480" w:firstLineChars="200"/>
        <w:jc w:val="left"/>
        <w:rPr>
          <w:rFonts w:hAnsi="宋体" w:eastAsia="宋体"/>
          <w:color w:val="auto"/>
          <w:sz w:val="24"/>
          <w:szCs w:val="28"/>
          <w:highlight w:val="none"/>
        </w:rPr>
      </w:pPr>
    </w:p>
    <w:p w14:paraId="6A27134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54FAA88">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64B6F1DD">
      <w:pPr>
        <w:spacing w:line="360" w:lineRule="auto"/>
        <w:ind w:firstLine="435"/>
        <w:rPr>
          <w:rFonts w:ascii="宋体" w:hAnsi="宋体" w:eastAsia="宋体"/>
          <w:color w:val="auto"/>
          <w:sz w:val="24"/>
          <w:highlight w:val="none"/>
        </w:rPr>
      </w:pPr>
    </w:p>
    <w:p w14:paraId="700321B3">
      <w:pPr>
        <w:spacing w:line="360" w:lineRule="auto"/>
        <w:ind w:firstLine="435"/>
        <w:rPr>
          <w:rFonts w:ascii="宋体" w:hAnsi="宋体" w:eastAsia="宋体"/>
          <w:color w:val="auto"/>
          <w:sz w:val="24"/>
          <w:highlight w:val="none"/>
        </w:rPr>
      </w:pPr>
    </w:p>
    <w:p w14:paraId="066000C5">
      <w:pPr>
        <w:spacing w:line="360" w:lineRule="auto"/>
        <w:ind w:firstLine="435"/>
        <w:rPr>
          <w:rFonts w:ascii="宋体" w:hAnsi="宋体" w:eastAsia="宋体"/>
          <w:color w:val="auto"/>
          <w:sz w:val="24"/>
          <w:highlight w:val="none"/>
        </w:rPr>
      </w:pPr>
    </w:p>
    <w:p w14:paraId="7B25912B">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3B501A">
      <w:pPr>
        <w:spacing w:line="360" w:lineRule="auto"/>
        <w:ind w:firstLine="435"/>
        <w:rPr>
          <w:rFonts w:hAnsi="宋体" w:eastAsia="宋体"/>
          <w:color w:val="auto"/>
          <w:sz w:val="24"/>
          <w:szCs w:val="28"/>
          <w:highlight w:val="none"/>
          <w:lang w:val="zh-CN"/>
        </w:rPr>
      </w:pPr>
    </w:p>
    <w:p w14:paraId="48220DB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1E27F1B8">
      <w:pPr>
        <w:spacing w:line="360" w:lineRule="auto"/>
        <w:rPr>
          <w:rFonts w:ascii="宋体" w:hAnsi="宋体" w:eastAsia="宋体"/>
          <w:color w:val="auto"/>
          <w:sz w:val="24"/>
          <w:szCs w:val="28"/>
          <w:highlight w:val="none"/>
        </w:rPr>
      </w:pPr>
    </w:p>
    <w:p w14:paraId="2CBF1DD1">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2FF5892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5204ECE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C908692">
      <w:pPr>
        <w:spacing w:line="360" w:lineRule="auto"/>
        <w:ind w:firstLine="435"/>
        <w:rPr>
          <w:rFonts w:ascii="宋体" w:hAnsi="宋体" w:eastAsia="宋体"/>
          <w:color w:val="auto"/>
          <w:sz w:val="24"/>
          <w:highlight w:val="none"/>
        </w:rPr>
      </w:pPr>
    </w:p>
    <w:p w14:paraId="18288C9B">
      <w:pPr>
        <w:spacing w:line="360" w:lineRule="auto"/>
        <w:ind w:firstLine="435"/>
        <w:rPr>
          <w:rFonts w:ascii="宋体" w:hAnsi="宋体" w:eastAsia="宋体"/>
          <w:color w:val="auto"/>
          <w:sz w:val="24"/>
          <w:highlight w:val="none"/>
        </w:rPr>
      </w:pPr>
    </w:p>
    <w:p w14:paraId="154A771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9FF4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46EE49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0F3EDDE">
      <w:pPr>
        <w:widowControl/>
        <w:jc w:val="left"/>
        <w:rPr>
          <w:rFonts w:hint="eastAsia" w:ascii="宋体" w:hAnsi="宋体" w:eastAsia="宋体"/>
          <w:b/>
          <w:color w:val="auto"/>
          <w:sz w:val="24"/>
          <w:highlight w:val="none"/>
          <w:lang w:val="en-US" w:eastAsia="zh-CN"/>
        </w:rPr>
      </w:pPr>
      <w:r>
        <w:rPr>
          <w:rFonts w:ascii="宋体" w:hAnsi="宋体" w:eastAsia="宋体"/>
          <w:color w:val="auto"/>
          <w:sz w:val="24"/>
          <w:highlight w:val="none"/>
        </w:rPr>
        <w:br w:type="page"/>
      </w:r>
      <w:bookmarkStart w:id="187" w:name="_Toc1328"/>
    </w:p>
    <w:p w14:paraId="437720D6">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二、投标人资格声明书</w:t>
      </w:r>
      <w:bookmarkEnd w:id="187"/>
    </w:p>
    <w:p w14:paraId="212B720D">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C94A0">
      <w:pPr>
        <w:spacing w:line="360" w:lineRule="auto"/>
        <w:ind w:firstLine="4800" w:firstLineChars="2000"/>
        <w:rPr>
          <w:rFonts w:ascii="宋体" w:hAnsi="宋体" w:eastAsia="宋体"/>
          <w:color w:val="auto"/>
          <w:sz w:val="24"/>
          <w:highlight w:val="none"/>
        </w:rPr>
      </w:pPr>
    </w:p>
    <w:p w14:paraId="18D9D3F7">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CCF7D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D9CF5C5">
      <w:pPr>
        <w:pStyle w:val="9"/>
        <w:rPr>
          <w:rFonts w:hint="eastAsia" w:ascii="宋体" w:hAnsi="宋体" w:eastAsia="宋体" w:cs="宋体"/>
          <w:color w:val="000000"/>
          <w:kern w:val="0"/>
          <w:sz w:val="24"/>
          <w:szCs w:val="24"/>
          <w:highlight w:val="none"/>
          <w:lang w:val="en-US" w:eastAsia="zh-CN"/>
        </w:rPr>
      </w:pPr>
    </w:p>
    <w:p w14:paraId="403A8C05">
      <w:pPr>
        <w:pStyle w:val="9"/>
        <w:rPr>
          <w:rFonts w:hint="eastAsia" w:ascii="宋体" w:hAnsi="宋体" w:eastAsia="宋体" w:cs="宋体"/>
          <w:color w:val="000000"/>
          <w:kern w:val="0"/>
          <w:sz w:val="24"/>
          <w:szCs w:val="24"/>
          <w:highlight w:val="none"/>
          <w:lang w:val="en-US" w:eastAsia="zh-CN"/>
        </w:rPr>
      </w:pPr>
    </w:p>
    <w:p w14:paraId="7B081043">
      <w:pPr>
        <w:pStyle w:val="9"/>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b/>
          <w:color w:val="auto"/>
          <w:sz w:val="24"/>
          <w:highlight w:val="none"/>
        </w:rPr>
      </w:pPr>
      <w:bookmarkStart w:id="188" w:name="_Toc11607"/>
      <w:r>
        <w:rPr>
          <w:rFonts w:hint="eastAsia" w:ascii="宋体" w:hAnsi="宋体" w:eastAsia="宋体"/>
          <w:b/>
          <w:color w:val="auto"/>
          <w:sz w:val="24"/>
          <w:highlight w:val="none"/>
        </w:rPr>
        <w:br w:type="page"/>
      </w:r>
    </w:p>
    <w:bookmarkEnd w:id="188"/>
    <w:p w14:paraId="7E77EDDA">
      <w:pPr>
        <w:widowControl/>
        <w:jc w:val="center"/>
        <w:rPr>
          <w:rFonts w:hint="eastAsia" w:ascii="宋体" w:hAnsi="宋体" w:eastAsia="宋体"/>
          <w:b/>
          <w:color w:val="auto"/>
          <w:sz w:val="24"/>
          <w:highlight w:val="none"/>
          <w:lang w:val="en-US" w:eastAsia="zh-CN"/>
        </w:rPr>
      </w:pPr>
      <w:bookmarkStart w:id="189" w:name="_Toc300210382"/>
      <w:bookmarkStart w:id="190" w:name="_Toc457768004"/>
      <w:bookmarkStart w:id="191" w:name="_Toc520299348"/>
      <w:bookmarkStart w:id="192" w:name="_Toc26536"/>
      <w:bookmarkStart w:id="193" w:name="_Toc25813"/>
      <w:bookmarkStart w:id="194" w:name="_Hlk11701496"/>
      <w:r>
        <w:rPr>
          <w:rFonts w:hint="eastAsia" w:ascii="宋体" w:hAnsi="宋体" w:eastAsia="宋体"/>
          <w:b/>
          <w:color w:val="auto"/>
          <w:sz w:val="24"/>
          <w:highlight w:val="none"/>
          <w:lang w:val="en-US" w:eastAsia="zh-CN"/>
        </w:rPr>
        <w:t>三、</w:t>
      </w:r>
      <w:bookmarkEnd w:id="189"/>
      <w:bookmarkEnd w:id="190"/>
      <w:bookmarkEnd w:id="191"/>
      <w:r>
        <w:rPr>
          <w:rFonts w:hint="eastAsia" w:ascii="宋体" w:hAnsi="宋体" w:eastAsia="宋体"/>
          <w:b/>
          <w:color w:val="auto"/>
          <w:sz w:val="24"/>
          <w:highlight w:val="none"/>
          <w:lang w:val="en-US" w:eastAsia="zh-CN"/>
        </w:rPr>
        <w:t>诚信履约承诺函</w:t>
      </w:r>
      <w:bookmarkEnd w:id="192"/>
      <w:bookmarkEnd w:id="193"/>
    </w:p>
    <w:p w14:paraId="2E0B75F1">
      <w:pPr>
        <w:spacing w:line="360" w:lineRule="auto"/>
        <w:rPr>
          <w:rFonts w:ascii="宋体" w:hAnsi="宋体" w:eastAsia="宋体"/>
          <w:b/>
          <w:bCs/>
          <w:color w:val="auto"/>
          <w:sz w:val="24"/>
          <w:highlight w:val="none"/>
        </w:rPr>
      </w:pPr>
    </w:p>
    <w:p w14:paraId="10AC173F">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4D1F440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30AC34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0F15A68B">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EAD581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4E57A45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4E0526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ascii="宋体" w:hAnsi="宋体" w:eastAsia="宋体"/>
          <w:bCs/>
          <w:color w:val="auto"/>
          <w:sz w:val="24"/>
          <w:highlight w:val="none"/>
        </w:rPr>
      </w:pPr>
    </w:p>
    <w:p w14:paraId="4945F654">
      <w:pPr>
        <w:spacing w:line="360" w:lineRule="auto"/>
        <w:rPr>
          <w:rFonts w:ascii="宋体" w:hAnsi="宋体" w:eastAsia="宋体"/>
          <w:bCs/>
          <w:color w:val="auto"/>
          <w:sz w:val="24"/>
          <w:highlight w:val="none"/>
        </w:rPr>
      </w:pPr>
    </w:p>
    <w:p w14:paraId="03BFC6BF">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707D042">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4A21104">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195" w:name="OLE_LINK14"/>
      <w:bookmarkStart w:id="196" w:name="_Toc9573"/>
      <w:bookmarkStart w:id="197" w:name="_Toc31244"/>
      <w:bookmarkStart w:id="198" w:name="OLE_LINK13"/>
    </w:p>
    <w:bookmarkEnd w:id="194"/>
    <w:bookmarkEnd w:id="195"/>
    <w:bookmarkEnd w:id="196"/>
    <w:bookmarkEnd w:id="197"/>
    <w:bookmarkEnd w:id="198"/>
    <w:p w14:paraId="3A5ACE8A">
      <w:pPr>
        <w:spacing w:line="360" w:lineRule="auto"/>
        <w:jc w:val="center"/>
        <w:outlineLvl w:val="0"/>
        <w:rPr>
          <w:rFonts w:ascii="宋体" w:hAnsi="宋体" w:eastAsia="宋体"/>
          <w:b/>
          <w:color w:val="auto"/>
          <w:sz w:val="28"/>
          <w:highlight w:val="none"/>
        </w:rPr>
      </w:pPr>
      <w:bookmarkStart w:id="199" w:name="_Toc18131"/>
      <w:bookmarkStart w:id="200" w:name="_Toc6435"/>
      <w:r>
        <w:rPr>
          <w:rFonts w:hint="eastAsia" w:ascii="宋体" w:hAnsi="宋体" w:eastAsia="宋体"/>
          <w:b/>
          <w:color w:val="auto"/>
          <w:sz w:val="28"/>
          <w:highlight w:val="none"/>
        </w:rPr>
        <w:t>投标文件格式</w:t>
      </w:r>
    </w:p>
    <w:p w14:paraId="5B3042E1">
      <w:pPr>
        <w:spacing w:line="900" w:lineRule="exact"/>
        <w:jc w:val="center"/>
        <w:rPr>
          <w:rFonts w:ascii="宋体" w:hAnsi="宋体" w:eastAsia="宋体"/>
          <w:b/>
          <w:color w:val="auto"/>
          <w:sz w:val="72"/>
          <w:highlight w:val="none"/>
        </w:rPr>
      </w:pPr>
    </w:p>
    <w:p w14:paraId="2B4C4EF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1BC12425">
      <w:pPr>
        <w:spacing w:line="900" w:lineRule="exact"/>
        <w:jc w:val="center"/>
        <w:rPr>
          <w:rFonts w:ascii="宋体" w:hAnsi="宋体" w:eastAsia="宋体"/>
          <w:b/>
          <w:color w:val="auto"/>
          <w:sz w:val="72"/>
          <w:highlight w:val="none"/>
        </w:rPr>
      </w:pPr>
    </w:p>
    <w:p w14:paraId="58363E6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5F8628">
      <w:pPr>
        <w:spacing w:line="900" w:lineRule="exact"/>
        <w:jc w:val="center"/>
        <w:rPr>
          <w:rFonts w:ascii="宋体" w:hAnsi="宋体" w:eastAsia="宋体"/>
          <w:b/>
          <w:color w:val="auto"/>
          <w:sz w:val="72"/>
          <w:highlight w:val="none"/>
        </w:rPr>
      </w:pPr>
    </w:p>
    <w:p w14:paraId="5041617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2E5FAAA7">
      <w:pPr>
        <w:spacing w:line="900" w:lineRule="exact"/>
        <w:jc w:val="center"/>
        <w:rPr>
          <w:rFonts w:ascii="宋体" w:hAnsi="宋体" w:eastAsia="宋体"/>
          <w:b/>
          <w:color w:val="auto"/>
          <w:sz w:val="72"/>
          <w:highlight w:val="none"/>
        </w:rPr>
      </w:pPr>
    </w:p>
    <w:p w14:paraId="66EAE9EC">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6FCDE67E">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1F5E1AEE">
      <w:pPr>
        <w:spacing w:after="156" w:afterLines="50" w:line="500" w:lineRule="exact"/>
        <w:jc w:val="center"/>
        <w:rPr>
          <w:rFonts w:ascii="宋体" w:hAnsi="宋体" w:eastAsia="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F57D33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56B9A00">
      <w:pPr>
        <w:spacing w:line="360" w:lineRule="auto"/>
        <w:jc w:val="center"/>
        <w:outlineLvl w:val="0"/>
        <w:rPr>
          <w:rFonts w:hint="eastAsia" w:ascii="宋体" w:hAnsi="宋体" w:eastAsia="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9994BF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（4）投标人认为需要提供的其他商务材料；</w:t>
      </w:r>
    </w:p>
    <w:p w14:paraId="738F023E">
      <w:pPr>
        <w:spacing w:line="360" w:lineRule="auto"/>
        <w:ind w:firstLine="435"/>
        <w:rPr>
          <w:rFonts w:hint="default"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b/>
          <w:color w:val="auto"/>
          <w:sz w:val="28"/>
          <w:highlight w:val="none"/>
        </w:rPr>
      </w:pPr>
    </w:p>
    <w:p w14:paraId="6CEFF098">
      <w:pPr>
        <w:spacing w:line="360" w:lineRule="auto"/>
        <w:jc w:val="center"/>
        <w:outlineLvl w:val="0"/>
        <w:rPr>
          <w:rFonts w:hint="eastAsia" w:ascii="宋体" w:hAnsi="宋体" w:eastAsia="宋体"/>
          <w:b/>
          <w:color w:val="auto"/>
          <w:sz w:val="28"/>
          <w:highlight w:val="none"/>
        </w:rPr>
      </w:pPr>
    </w:p>
    <w:p w14:paraId="4BDEAACB">
      <w:pPr>
        <w:spacing w:line="360" w:lineRule="auto"/>
        <w:jc w:val="center"/>
        <w:outlineLvl w:val="0"/>
        <w:rPr>
          <w:rFonts w:hint="eastAsia" w:ascii="宋体" w:hAnsi="宋体" w:eastAsia="宋体"/>
          <w:b/>
          <w:color w:val="auto"/>
          <w:sz w:val="28"/>
          <w:highlight w:val="none"/>
        </w:rPr>
      </w:pPr>
    </w:p>
    <w:p w14:paraId="617E0A42">
      <w:pPr>
        <w:spacing w:line="360" w:lineRule="auto"/>
        <w:jc w:val="center"/>
        <w:outlineLvl w:val="0"/>
        <w:rPr>
          <w:rFonts w:hint="eastAsia" w:ascii="宋体" w:hAnsi="宋体" w:eastAsia="宋体"/>
          <w:b/>
          <w:color w:val="auto"/>
          <w:sz w:val="28"/>
          <w:highlight w:val="none"/>
        </w:rPr>
      </w:pPr>
    </w:p>
    <w:p w14:paraId="1057D042">
      <w:pPr>
        <w:spacing w:line="360" w:lineRule="auto"/>
        <w:jc w:val="center"/>
        <w:outlineLvl w:val="0"/>
        <w:rPr>
          <w:rFonts w:hint="eastAsia" w:ascii="宋体" w:hAnsi="宋体" w:eastAsia="宋体"/>
          <w:b/>
          <w:color w:val="auto"/>
          <w:sz w:val="28"/>
          <w:highlight w:val="none"/>
        </w:rPr>
      </w:pPr>
    </w:p>
    <w:p w14:paraId="4546BD26">
      <w:pPr>
        <w:spacing w:line="360" w:lineRule="auto"/>
        <w:jc w:val="center"/>
        <w:outlineLvl w:val="0"/>
        <w:rPr>
          <w:rFonts w:hint="eastAsia" w:ascii="宋体" w:hAnsi="宋体" w:eastAsia="宋体"/>
          <w:b/>
          <w:color w:val="auto"/>
          <w:sz w:val="28"/>
          <w:highlight w:val="none"/>
        </w:rPr>
      </w:pPr>
    </w:p>
    <w:p w14:paraId="40519ACD">
      <w:pPr>
        <w:spacing w:line="360" w:lineRule="auto"/>
        <w:jc w:val="center"/>
        <w:outlineLvl w:val="0"/>
        <w:rPr>
          <w:rFonts w:hint="eastAsia" w:ascii="宋体" w:hAnsi="宋体" w:eastAsia="宋体"/>
          <w:b/>
          <w:color w:val="auto"/>
          <w:sz w:val="28"/>
          <w:highlight w:val="none"/>
        </w:rPr>
      </w:pPr>
    </w:p>
    <w:p w14:paraId="6B9BE415">
      <w:pPr>
        <w:spacing w:line="360" w:lineRule="auto"/>
        <w:jc w:val="center"/>
        <w:outlineLvl w:val="0"/>
        <w:rPr>
          <w:rFonts w:hint="eastAsia" w:ascii="宋体" w:hAnsi="宋体" w:eastAsia="宋体"/>
          <w:b/>
          <w:color w:val="auto"/>
          <w:sz w:val="28"/>
          <w:highlight w:val="none"/>
        </w:rPr>
      </w:pPr>
    </w:p>
    <w:p w14:paraId="6714EFC5">
      <w:pPr>
        <w:spacing w:line="360" w:lineRule="auto"/>
        <w:jc w:val="center"/>
        <w:outlineLvl w:val="0"/>
        <w:rPr>
          <w:rFonts w:hint="eastAsia" w:ascii="宋体" w:hAnsi="宋体" w:eastAsia="宋体"/>
          <w:b/>
          <w:color w:val="auto"/>
          <w:sz w:val="28"/>
          <w:highlight w:val="none"/>
        </w:rPr>
      </w:pPr>
    </w:p>
    <w:p w14:paraId="5FAD2279">
      <w:pPr>
        <w:spacing w:line="360" w:lineRule="auto"/>
        <w:jc w:val="center"/>
        <w:outlineLvl w:val="0"/>
        <w:rPr>
          <w:rFonts w:hint="eastAsia" w:ascii="宋体" w:hAnsi="宋体" w:eastAsia="宋体"/>
          <w:b/>
          <w:color w:val="auto"/>
          <w:sz w:val="28"/>
          <w:highlight w:val="none"/>
        </w:rPr>
      </w:pPr>
    </w:p>
    <w:p w14:paraId="5CBDD46A">
      <w:pPr>
        <w:spacing w:line="360" w:lineRule="auto"/>
        <w:jc w:val="center"/>
        <w:outlineLvl w:val="0"/>
        <w:rPr>
          <w:rFonts w:hint="eastAsia" w:ascii="宋体" w:hAnsi="宋体" w:eastAsia="宋体"/>
          <w:b/>
          <w:color w:val="auto"/>
          <w:sz w:val="28"/>
          <w:highlight w:val="none"/>
        </w:rPr>
      </w:pPr>
    </w:p>
    <w:p w14:paraId="4539BC7B">
      <w:pPr>
        <w:spacing w:line="360" w:lineRule="auto"/>
        <w:jc w:val="center"/>
        <w:outlineLvl w:val="0"/>
        <w:rPr>
          <w:rFonts w:hint="eastAsia" w:ascii="宋体" w:hAnsi="宋体" w:eastAsia="宋体"/>
          <w:b/>
          <w:color w:val="auto"/>
          <w:sz w:val="28"/>
          <w:highlight w:val="none"/>
        </w:rPr>
      </w:pPr>
    </w:p>
    <w:p w14:paraId="73494140">
      <w:pPr>
        <w:spacing w:line="360" w:lineRule="auto"/>
        <w:jc w:val="center"/>
        <w:outlineLvl w:val="0"/>
        <w:rPr>
          <w:rFonts w:hint="eastAsia" w:ascii="宋体" w:hAnsi="宋体" w:eastAsia="宋体"/>
          <w:b/>
          <w:color w:val="auto"/>
          <w:sz w:val="28"/>
          <w:highlight w:val="none"/>
        </w:rPr>
      </w:pPr>
    </w:p>
    <w:p w14:paraId="10EA76D7">
      <w:pPr>
        <w:spacing w:line="360" w:lineRule="auto"/>
        <w:jc w:val="center"/>
        <w:outlineLvl w:val="0"/>
        <w:rPr>
          <w:rFonts w:hint="eastAsia" w:ascii="宋体" w:hAnsi="宋体" w:eastAsia="宋体"/>
          <w:b/>
          <w:color w:val="auto"/>
          <w:sz w:val="28"/>
          <w:highlight w:val="none"/>
        </w:rPr>
      </w:pPr>
    </w:p>
    <w:p w14:paraId="3FA6E207">
      <w:pPr>
        <w:spacing w:line="360" w:lineRule="auto"/>
        <w:jc w:val="center"/>
        <w:outlineLvl w:val="0"/>
        <w:rPr>
          <w:rFonts w:hint="eastAsia" w:ascii="宋体" w:hAnsi="宋体" w:eastAsia="宋体"/>
          <w:b/>
          <w:color w:val="auto"/>
          <w:sz w:val="28"/>
          <w:highlight w:val="none"/>
        </w:rPr>
      </w:pPr>
    </w:p>
    <w:p w14:paraId="64495869">
      <w:pPr>
        <w:spacing w:line="360" w:lineRule="auto"/>
        <w:jc w:val="center"/>
        <w:outlineLvl w:val="0"/>
        <w:rPr>
          <w:rFonts w:hint="eastAsia" w:ascii="宋体" w:hAnsi="宋体" w:eastAsia="宋体"/>
          <w:b/>
          <w:color w:val="auto"/>
          <w:sz w:val="28"/>
          <w:highlight w:val="none"/>
        </w:rPr>
      </w:pPr>
    </w:p>
    <w:p w14:paraId="3D6AE53C">
      <w:pPr>
        <w:spacing w:line="360" w:lineRule="auto"/>
        <w:jc w:val="center"/>
        <w:outlineLvl w:val="0"/>
        <w:rPr>
          <w:rFonts w:hint="eastAsia" w:ascii="宋体" w:hAnsi="宋体" w:eastAsia="宋体"/>
          <w:b/>
          <w:color w:val="auto"/>
          <w:sz w:val="28"/>
          <w:highlight w:val="none"/>
        </w:rPr>
      </w:pPr>
    </w:p>
    <w:p w14:paraId="65AF575F">
      <w:pPr>
        <w:pStyle w:val="9"/>
        <w:rPr>
          <w:rFonts w:hint="eastAsia"/>
          <w:highlight w:val="none"/>
        </w:rPr>
      </w:pPr>
    </w:p>
    <w:p w14:paraId="7B7C5FF1">
      <w:pPr>
        <w:spacing w:line="360" w:lineRule="auto"/>
        <w:jc w:val="center"/>
        <w:outlineLvl w:val="1"/>
        <w:rPr>
          <w:rFonts w:ascii="宋体" w:hAnsi="宋体" w:eastAsia="宋体"/>
          <w:b/>
          <w:color w:val="auto"/>
          <w:sz w:val="24"/>
          <w:highlight w:val="none"/>
        </w:rPr>
      </w:pPr>
      <w:bookmarkStart w:id="201" w:name="_Toc28960"/>
      <w:bookmarkStart w:id="202" w:name="_Toc5555"/>
      <w:r>
        <w:rPr>
          <w:rFonts w:hint="eastAsia" w:ascii="宋体" w:hAnsi="宋体" w:eastAsia="宋体"/>
          <w:b/>
          <w:color w:val="auto"/>
          <w:sz w:val="24"/>
          <w:highlight w:val="none"/>
        </w:rPr>
        <w:t>一、开标一览表</w:t>
      </w:r>
      <w:bookmarkEnd w:id="201"/>
      <w:bookmarkEnd w:id="202"/>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default" w:ascii="宋体" w:hAnsi="宋体" w:eastAsia="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w:t>
            </w:r>
            <w:r>
              <w:rPr>
                <w:rFonts w:hint="eastAsia" w:ascii="宋体" w:hAnsi="宋体" w:eastAsia="宋体"/>
                <w:b/>
                <w:color w:val="auto"/>
                <w:sz w:val="24"/>
                <w:szCs w:val="20"/>
                <w:highlight w:val="none"/>
                <w:lang w:val="en-US" w:eastAsia="zh-CN"/>
              </w:rPr>
              <w:t>总</w:t>
            </w:r>
            <w:r>
              <w:rPr>
                <w:rFonts w:hint="eastAsia" w:ascii="宋体" w:hAnsi="宋体" w:eastAsia="宋体"/>
                <w:b/>
                <w:color w:val="auto"/>
                <w:sz w:val="24"/>
                <w:szCs w:val="20"/>
                <w:highlight w:val="none"/>
              </w:rPr>
              <w:t>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063F32D6">
      <w:pPr>
        <w:spacing w:line="360" w:lineRule="auto"/>
        <w:ind w:firstLine="4320" w:firstLineChars="1800"/>
        <w:jc w:val="center"/>
        <w:rPr>
          <w:rFonts w:hint="eastAsia"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AED1872">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w:t>
      </w: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期：</w:t>
      </w:r>
      <w:r>
        <w:rPr>
          <w:rFonts w:hint="eastAsia" w:ascii="宋体" w:hAnsi="宋体" w:eastAsia="宋体"/>
          <w:bCs/>
          <w:color w:val="auto"/>
          <w:sz w:val="24"/>
          <w:highlight w:val="none"/>
          <w:u w:val="single"/>
        </w:rPr>
        <w:t xml:space="preserve">             </w:t>
      </w:r>
    </w:p>
    <w:p w14:paraId="064F1FEB">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23CE853">
      <w:pPr>
        <w:spacing w:line="360" w:lineRule="auto"/>
        <w:ind w:firstLine="360" w:firstLineChars="150"/>
        <w:rPr>
          <w:rFonts w:ascii="宋体" w:hAnsi="宋体" w:eastAsia="宋体"/>
          <w:color w:val="auto"/>
          <w:sz w:val="24"/>
          <w:highlight w:val="none"/>
        </w:rPr>
      </w:pPr>
    </w:p>
    <w:p w14:paraId="7C33BAAC">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37B3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64F8DB7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BF6615">
      <w:pPr>
        <w:spacing w:line="360" w:lineRule="auto"/>
        <w:ind w:firstLine="480" w:firstLineChars="200"/>
        <w:jc w:val="both"/>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6F533828">
      <w:pPr>
        <w:spacing w:line="360" w:lineRule="auto"/>
        <w:jc w:val="center"/>
        <w:outlineLvl w:val="1"/>
        <w:rPr>
          <w:rFonts w:ascii="宋体" w:hAnsi="宋体" w:eastAsia="宋体"/>
          <w:b/>
          <w:color w:val="auto"/>
          <w:sz w:val="24"/>
          <w:highlight w:val="none"/>
        </w:rPr>
      </w:pPr>
      <w:bookmarkStart w:id="203" w:name="_Toc18010"/>
      <w:bookmarkStart w:id="204" w:name="_Toc6441"/>
      <w:r>
        <w:rPr>
          <w:rFonts w:hint="eastAsia" w:ascii="宋体" w:hAnsi="宋体" w:eastAsia="宋体"/>
          <w:b/>
          <w:color w:val="auto"/>
          <w:sz w:val="24"/>
          <w:highlight w:val="none"/>
        </w:rPr>
        <w:t>二、投标函</w:t>
      </w:r>
      <w:bookmarkEnd w:id="203"/>
      <w:bookmarkEnd w:id="204"/>
    </w:p>
    <w:p w14:paraId="137B4C66">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523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106571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424D57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ascii="宋体" w:hAnsi="宋体" w:eastAsia="宋体"/>
          <w:color w:val="auto"/>
          <w:sz w:val="24"/>
          <w:highlight w:val="none"/>
        </w:rPr>
      </w:pPr>
    </w:p>
    <w:p w14:paraId="13BFA48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6F85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6CA30D68">
      <w:pPr>
        <w:spacing w:line="360" w:lineRule="auto"/>
        <w:jc w:val="center"/>
        <w:outlineLvl w:val="0"/>
        <w:rPr>
          <w:rFonts w:hint="eastAsia" w:ascii="宋体" w:hAnsi="宋体" w:eastAsia="宋体"/>
          <w:b/>
          <w:color w:val="auto"/>
          <w:sz w:val="28"/>
          <w:highlight w:val="none"/>
        </w:rPr>
      </w:pPr>
    </w:p>
    <w:p w14:paraId="1BB94051">
      <w:pPr>
        <w:spacing w:line="360" w:lineRule="auto"/>
        <w:jc w:val="center"/>
        <w:outlineLvl w:val="0"/>
        <w:rPr>
          <w:rFonts w:hint="eastAsia" w:ascii="宋体" w:hAnsi="宋体" w:eastAsia="宋体"/>
          <w:b/>
          <w:color w:val="auto"/>
          <w:sz w:val="28"/>
          <w:highlight w:val="none"/>
        </w:rPr>
      </w:pPr>
    </w:p>
    <w:p w14:paraId="060B1FC9">
      <w:pPr>
        <w:spacing w:line="360" w:lineRule="auto"/>
        <w:jc w:val="center"/>
        <w:outlineLvl w:val="0"/>
        <w:rPr>
          <w:rFonts w:hint="eastAsia" w:ascii="宋体" w:hAnsi="宋体" w:eastAsia="宋体"/>
          <w:b/>
          <w:color w:val="auto"/>
          <w:sz w:val="28"/>
          <w:highlight w:val="none"/>
        </w:rPr>
      </w:pPr>
    </w:p>
    <w:p w14:paraId="1873D3E0">
      <w:pPr>
        <w:spacing w:line="360" w:lineRule="auto"/>
        <w:jc w:val="center"/>
        <w:outlineLvl w:val="0"/>
        <w:rPr>
          <w:rFonts w:hint="eastAsia" w:ascii="宋体" w:hAnsi="宋体" w:eastAsia="宋体"/>
          <w:b/>
          <w:color w:val="auto"/>
          <w:sz w:val="28"/>
          <w:highlight w:val="none"/>
        </w:rPr>
      </w:pPr>
    </w:p>
    <w:p w14:paraId="7A03B87D">
      <w:pPr>
        <w:spacing w:line="360" w:lineRule="auto"/>
        <w:jc w:val="center"/>
        <w:outlineLvl w:val="0"/>
        <w:rPr>
          <w:rFonts w:hint="eastAsia" w:ascii="宋体" w:hAnsi="宋体" w:eastAsia="宋体"/>
          <w:b/>
          <w:color w:val="auto"/>
          <w:sz w:val="28"/>
          <w:highlight w:val="none"/>
        </w:rPr>
      </w:pPr>
    </w:p>
    <w:p w14:paraId="6A44AE48">
      <w:pPr>
        <w:spacing w:line="360" w:lineRule="auto"/>
        <w:jc w:val="center"/>
        <w:outlineLvl w:val="0"/>
        <w:rPr>
          <w:rFonts w:hint="eastAsia" w:ascii="宋体" w:hAnsi="宋体" w:eastAsia="宋体"/>
          <w:b/>
          <w:color w:val="auto"/>
          <w:sz w:val="28"/>
          <w:highlight w:val="none"/>
        </w:rPr>
      </w:pPr>
    </w:p>
    <w:p w14:paraId="3550893E">
      <w:pPr>
        <w:spacing w:line="360" w:lineRule="auto"/>
        <w:jc w:val="center"/>
        <w:outlineLvl w:val="0"/>
        <w:rPr>
          <w:rFonts w:hint="eastAsia" w:ascii="宋体" w:hAnsi="宋体" w:eastAsia="宋体"/>
          <w:b/>
          <w:color w:val="auto"/>
          <w:sz w:val="28"/>
          <w:highlight w:val="none"/>
        </w:rPr>
      </w:pPr>
    </w:p>
    <w:p w14:paraId="014A1A3F">
      <w:pPr>
        <w:spacing w:line="360" w:lineRule="auto"/>
        <w:jc w:val="center"/>
        <w:outlineLvl w:val="1"/>
        <w:rPr>
          <w:rFonts w:hint="eastAsia" w:ascii="宋体" w:hAnsi="宋体" w:eastAsia="宋体"/>
          <w:b/>
          <w:color w:val="auto"/>
          <w:sz w:val="24"/>
          <w:highlight w:val="none"/>
        </w:rPr>
      </w:pPr>
      <w:bookmarkStart w:id="205" w:name="_Toc6796"/>
      <w:bookmarkStart w:id="206" w:name="_Toc31991"/>
    </w:p>
    <w:p w14:paraId="25C4F671">
      <w:pPr>
        <w:spacing w:line="360" w:lineRule="auto"/>
        <w:jc w:val="center"/>
        <w:outlineLvl w:val="1"/>
        <w:rPr>
          <w:rFonts w:hint="eastAsia" w:ascii="宋体" w:hAnsi="宋体" w:eastAsia="宋体"/>
          <w:b/>
          <w:color w:val="auto"/>
          <w:sz w:val="24"/>
          <w:highlight w:val="none"/>
        </w:rPr>
      </w:pPr>
    </w:p>
    <w:p w14:paraId="52D2B976">
      <w:pPr>
        <w:pStyle w:val="25"/>
        <w:rPr>
          <w:rFonts w:hint="eastAsia"/>
          <w:highlight w:val="none"/>
        </w:rPr>
      </w:pPr>
    </w:p>
    <w:p w14:paraId="11C30E39">
      <w:pPr>
        <w:spacing w:line="360" w:lineRule="auto"/>
        <w:jc w:val="center"/>
        <w:outlineLvl w:val="1"/>
        <w:rPr>
          <w:rFonts w:hint="eastAsia" w:ascii="宋体" w:hAnsi="宋体" w:eastAsia="宋体"/>
          <w:b/>
          <w:color w:val="auto"/>
          <w:sz w:val="24"/>
          <w:highlight w:val="none"/>
        </w:rPr>
      </w:pPr>
    </w:p>
    <w:bookmarkEnd w:id="205"/>
    <w:bookmarkEnd w:id="206"/>
    <w:p w14:paraId="4E7CEC90">
      <w:pPr>
        <w:spacing w:line="360" w:lineRule="auto"/>
        <w:jc w:val="center"/>
        <w:outlineLvl w:val="1"/>
        <w:rPr>
          <w:rFonts w:hint="default" w:ascii="宋体" w:hAnsi="宋体" w:eastAsia="宋体"/>
          <w:b/>
          <w:color w:val="auto"/>
          <w:sz w:val="24"/>
          <w:highlight w:val="none"/>
          <w:lang w:val="en-US" w:eastAsia="zh-CN"/>
        </w:rPr>
      </w:pPr>
      <w:bookmarkStart w:id="207" w:name="_Toc11940"/>
      <w:bookmarkStart w:id="208" w:name="_Toc20329"/>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、投标响应表</w:t>
      </w:r>
      <w:bookmarkEnd w:id="207"/>
      <w:bookmarkEnd w:id="208"/>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ED14B6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6BF0E37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FCB4E99">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F95F9AF">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lang w:val="en-US" w:eastAsia="zh-CN"/>
              </w:rPr>
              <w:t>服务</w:t>
            </w:r>
            <w:r>
              <w:rPr>
                <w:rFonts w:hint="eastAsia" w:ascii="宋体" w:hAnsi="宋体" w:eastAsia="宋体"/>
                <w:color w:val="auto"/>
                <w:sz w:val="24"/>
                <w:szCs w:val="20"/>
                <w:highlight w:val="none"/>
              </w:rPr>
              <w:t>期限</w:t>
            </w:r>
          </w:p>
        </w:tc>
        <w:tc>
          <w:tcPr>
            <w:tcW w:w="1465" w:type="pct"/>
            <w:vAlign w:val="center"/>
          </w:tcPr>
          <w:p w14:paraId="6EF0958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151F135">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628578A4">
      <w:pPr>
        <w:spacing w:line="360" w:lineRule="auto"/>
        <w:ind w:firstLine="4800" w:firstLineChars="2000"/>
        <w:rPr>
          <w:rFonts w:hint="eastAsia" w:ascii="宋体" w:hAnsi="宋体" w:eastAsia="宋体"/>
          <w:color w:val="auto"/>
          <w:sz w:val="24"/>
          <w:highlight w:val="none"/>
        </w:rPr>
      </w:pPr>
    </w:p>
    <w:p w14:paraId="686AF1E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D2A6C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7B89185">
      <w:pPr>
        <w:spacing w:line="360" w:lineRule="auto"/>
        <w:ind w:firstLine="435"/>
        <w:rPr>
          <w:rFonts w:hint="eastAsia" w:ascii="宋体" w:hAnsi="宋体" w:eastAsia="宋体"/>
          <w:color w:val="auto"/>
          <w:sz w:val="24"/>
          <w:highlight w:val="none"/>
        </w:rPr>
      </w:pPr>
    </w:p>
    <w:p w14:paraId="2B854D8A">
      <w:pPr>
        <w:spacing w:line="360" w:lineRule="auto"/>
        <w:jc w:val="center"/>
        <w:outlineLvl w:val="0"/>
        <w:rPr>
          <w:rFonts w:hint="eastAsia" w:ascii="宋体" w:hAnsi="宋体" w:eastAsia="宋体"/>
          <w:b/>
          <w:color w:val="auto"/>
          <w:sz w:val="28"/>
          <w:highlight w:val="none"/>
        </w:rPr>
      </w:pPr>
    </w:p>
    <w:p w14:paraId="6F977C82">
      <w:pPr>
        <w:spacing w:line="360" w:lineRule="auto"/>
        <w:jc w:val="center"/>
        <w:outlineLvl w:val="0"/>
        <w:rPr>
          <w:rFonts w:hint="eastAsia" w:ascii="宋体" w:hAnsi="宋体" w:eastAsia="宋体"/>
          <w:b/>
          <w:color w:val="auto"/>
          <w:sz w:val="28"/>
          <w:highlight w:val="none"/>
        </w:rPr>
      </w:pPr>
    </w:p>
    <w:p w14:paraId="08BB0C93">
      <w:pPr>
        <w:spacing w:line="360" w:lineRule="auto"/>
        <w:jc w:val="center"/>
        <w:outlineLvl w:val="0"/>
        <w:rPr>
          <w:rFonts w:hint="eastAsia" w:ascii="宋体" w:hAnsi="宋体" w:eastAsia="宋体"/>
          <w:b/>
          <w:color w:val="auto"/>
          <w:sz w:val="28"/>
          <w:highlight w:val="none"/>
        </w:rPr>
      </w:pPr>
    </w:p>
    <w:p w14:paraId="105820CF">
      <w:pPr>
        <w:spacing w:line="360" w:lineRule="auto"/>
        <w:jc w:val="center"/>
        <w:outlineLvl w:val="0"/>
        <w:rPr>
          <w:rFonts w:hint="eastAsia" w:ascii="宋体" w:hAnsi="宋体" w:eastAsia="宋体"/>
          <w:b/>
          <w:color w:val="auto"/>
          <w:sz w:val="28"/>
          <w:highlight w:val="none"/>
        </w:rPr>
      </w:pPr>
    </w:p>
    <w:p w14:paraId="466EC6BE">
      <w:pPr>
        <w:spacing w:line="360" w:lineRule="auto"/>
        <w:jc w:val="center"/>
        <w:outlineLvl w:val="0"/>
        <w:rPr>
          <w:rFonts w:hint="eastAsia" w:ascii="宋体" w:hAnsi="宋体" w:eastAsia="宋体"/>
          <w:b/>
          <w:color w:val="auto"/>
          <w:sz w:val="28"/>
          <w:highlight w:val="none"/>
        </w:rPr>
      </w:pPr>
    </w:p>
    <w:p w14:paraId="3C9D0942">
      <w:pPr>
        <w:spacing w:line="360" w:lineRule="auto"/>
        <w:jc w:val="center"/>
        <w:outlineLvl w:val="0"/>
        <w:rPr>
          <w:rFonts w:hint="eastAsia" w:ascii="宋体" w:hAnsi="宋体" w:eastAsia="宋体"/>
          <w:b/>
          <w:color w:val="auto"/>
          <w:sz w:val="28"/>
          <w:highlight w:val="none"/>
        </w:rPr>
      </w:pPr>
    </w:p>
    <w:p w14:paraId="58C63FD5">
      <w:pPr>
        <w:spacing w:line="360" w:lineRule="auto"/>
        <w:jc w:val="center"/>
        <w:outlineLvl w:val="0"/>
        <w:rPr>
          <w:rFonts w:hint="eastAsia" w:ascii="宋体" w:hAnsi="宋体" w:eastAsia="宋体"/>
          <w:b/>
          <w:color w:val="auto"/>
          <w:sz w:val="28"/>
          <w:highlight w:val="none"/>
        </w:rPr>
      </w:pPr>
    </w:p>
    <w:p w14:paraId="107A2AE1">
      <w:pPr>
        <w:spacing w:line="360" w:lineRule="auto"/>
        <w:jc w:val="center"/>
        <w:outlineLvl w:val="0"/>
        <w:rPr>
          <w:rFonts w:hint="eastAsia" w:ascii="宋体" w:hAnsi="宋体" w:eastAsia="宋体"/>
          <w:b/>
          <w:color w:val="auto"/>
          <w:sz w:val="28"/>
          <w:highlight w:val="none"/>
        </w:rPr>
      </w:pPr>
    </w:p>
    <w:p w14:paraId="0167B233">
      <w:pPr>
        <w:spacing w:line="360" w:lineRule="auto"/>
        <w:jc w:val="center"/>
        <w:outlineLvl w:val="0"/>
        <w:rPr>
          <w:rFonts w:hint="eastAsia" w:ascii="宋体" w:hAnsi="宋体" w:eastAsia="宋体"/>
          <w:b/>
          <w:color w:val="auto"/>
          <w:sz w:val="28"/>
          <w:highlight w:val="none"/>
        </w:rPr>
      </w:pPr>
    </w:p>
    <w:p w14:paraId="75555C8F">
      <w:pPr>
        <w:spacing w:line="360" w:lineRule="auto"/>
        <w:jc w:val="center"/>
        <w:outlineLvl w:val="0"/>
        <w:rPr>
          <w:rFonts w:hint="eastAsia" w:ascii="宋体" w:hAnsi="宋体" w:eastAsia="宋体"/>
          <w:b/>
          <w:color w:val="auto"/>
          <w:sz w:val="28"/>
          <w:highlight w:val="none"/>
        </w:rPr>
      </w:pPr>
    </w:p>
    <w:p w14:paraId="6AF29C98">
      <w:pPr>
        <w:spacing w:line="360" w:lineRule="auto"/>
        <w:jc w:val="center"/>
        <w:outlineLvl w:val="0"/>
        <w:rPr>
          <w:rFonts w:hint="eastAsia" w:ascii="宋体" w:hAnsi="宋体" w:eastAsia="宋体"/>
          <w:b/>
          <w:color w:val="auto"/>
          <w:sz w:val="28"/>
          <w:highlight w:val="none"/>
        </w:rPr>
      </w:pPr>
    </w:p>
    <w:p w14:paraId="7FBCFE34">
      <w:pPr>
        <w:spacing w:line="360" w:lineRule="auto"/>
        <w:jc w:val="center"/>
        <w:outlineLvl w:val="0"/>
        <w:rPr>
          <w:rFonts w:hint="eastAsia" w:ascii="宋体" w:hAnsi="宋体" w:eastAsia="宋体"/>
          <w:b/>
          <w:color w:val="auto"/>
          <w:sz w:val="28"/>
          <w:highlight w:val="none"/>
        </w:rPr>
      </w:pPr>
    </w:p>
    <w:p w14:paraId="7F312CBF">
      <w:pPr>
        <w:spacing w:line="360" w:lineRule="auto"/>
        <w:jc w:val="center"/>
        <w:outlineLvl w:val="0"/>
        <w:rPr>
          <w:rFonts w:hint="eastAsia" w:ascii="宋体" w:hAnsi="宋体" w:eastAsia="宋体"/>
          <w:b/>
          <w:color w:val="auto"/>
          <w:sz w:val="28"/>
          <w:highlight w:val="none"/>
        </w:rPr>
      </w:pPr>
    </w:p>
    <w:p w14:paraId="74657C8D">
      <w:pPr>
        <w:spacing w:line="360" w:lineRule="auto"/>
        <w:jc w:val="center"/>
        <w:outlineLvl w:val="0"/>
        <w:rPr>
          <w:rFonts w:hint="eastAsia" w:ascii="宋体" w:hAnsi="宋体" w:eastAsia="宋体"/>
          <w:b/>
          <w:color w:val="auto"/>
          <w:sz w:val="28"/>
          <w:highlight w:val="none"/>
        </w:rPr>
      </w:pPr>
    </w:p>
    <w:p w14:paraId="13F02638">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199"/>
      <w:bookmarkEnd w:id="200"/>
    </w:p>
    <w:p w14:paraId="1998D8EC">
      <w:pPr>
        <w:spacing w:line="360" w:lineRule="auto"/>
        <w:jc w:val="center"/>
        <w:outlineLvl w:val="1"/>
        <w:rPr>
          <w:rFonts w:ascii="仿宋" w:hAnsi="仿宋" w:eastAsia="仿宋" w:cs="仿宋"/>
          <w:b/>
          <w:bCs/>
          <w:color w:val="auto"/>
          <w:sz w:val="32"/>
          <w:szCs w:val="44"/>
          <w:highlight w:val="none"/>
        </w:rPr>
      </w:pPr>
      <w:bookmarkStart w:id="209" w:name="_Toc27489"/>
      <w:bookmarkStart w:id="210" w:name="_Toc27159"/>
      <w:r>
        <w:rPr>
          <w:rFonts w:hint="eastAsia" w:ascii="仿宋" w:hAnsi="仿宋" w:eastAsia="仿宋" w:cs="仿宋"/>
          <w:b/>
          <w:bCs/>
          <w:color w:val="auto"/>
          <w:sz w:val="32"/>
          <w:szCs w:val="44"/>
          <w:highlight w:val="none"/>
        </w:rPr>
        <w:t>询问函范本</w:t>
      </w:r>
      <w:bookmarkEnd w:id="209"/>
      <w:bookmarkEnd w:id="210"/>
    </w:p>
    <w:p w14:paraId="7705BAE9">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0ED3D3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211" w:name="_Toc13899"/>
      <w:r>
        <w:rPr>
          <w:rFonts w:hint="eastAsia" w:ascii="宋体" w:hAnsi="宋体" w:eastAsia="宋体" w:cs="仿宋"/>
          <w:color w:val="auto"/>
          <w:sz w:val="24"/>
          <w:szCs w:val="24"/>
          <w:highlight w:val="none"/>
        </w:rPr>
        <w:t>一、(事项一)</w:t>
      </w:r>
      <w:bookmarkEnd w:id="211"/>
    </w:p>
    <w:p w14:paraId="66E8EBF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2B80F15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74E53A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763E71F6">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212" w:name="_Toc3352"/>
      <w:r>
        <w:rPr>
          <w:rFonts w:hint="eastAsia" w:ascii="宋体" w:hAnsi="宋体" w:eastAsia="宋体" w:cs="仿宋"/>
          <w:color w:val="auto"/>
          <w:sz w:val="24"/>
          <w:szCs w:val="24"/>
          <w:highlight w:val="none"/>
        </w:rPr>
        <w:t>二、(事项二)</w:t>
      </w:r>
      <w:bookmarkEnd w:id="212"/>
    </w:p>
    <w:p w14:paraId="036F3F8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ED7702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1DC47D0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5A14C974">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00D68385">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3F2FF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63A7F81">
      <w:pPr>
        <w:jc w:val="center"/>
        <w:outlineLvl w:val="1"/>
        <w:rPr>
          <w:rFonts w:ascii="仿宋" w:hAnsi="仿宋" w:eastAsia="仿宋" w:cs="仿宋"/>
          <w:b/>
          <w:bCs/>
          <w:color w:val="auto"/>
          <w:sz w:val="32"/>
          <w:szCs w:val="44"/>
          <w:highlight w:val="none"/>
        </w:rPr>
      </w:pPr>
      <w:bookmarkStart w:id="213" w:name="_Toc1575"/>
      <w:bookmarkStart w:id="214" w:name="_Toc3245"/>
      <w:r>
        <w:rPr>
          <w:rFonts w:hint="eastAsia" w:ascii="仿宋" w:hAnsi="仿宋" w:eastAsia="仿宋" w:cs="仿宋"/>
          <w:b/>
          <w:bCs/>
          <w:color w:val="auto"/>
          <w:sz w:val="32"/>
          <w:szCs w:val="44"/>
          <w:highlight w:val="none"/>
        </w:rPr>
        <w:t>质疑函范本</w:t>
      </w:r>
      <w:bookmarkEnd w:id="213"/>
      <w:bookmarkEnd w:id="214"/>
    </w:p>
    <w:p w14:paraId="01E59D9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215" w:name="_Toc21381"/>
      <w:r>
        <w:rPr>
          <w:rFonts w:hint="eastAsia" w:ascii="宋体" w:hAnsi="宋体" w:eastAsia="宋体" w:cs="仿宋"/>
          <w:b/>
          <w:bCs/>
          <w:color w:val="auto"/>
          <w:sz w:val="24"/>
          <w:szCs w:val="24"/>
          <w:highlight w:val="none"/>
        </w:rPr>
        <w:t>一、质疑供应商基本信息</w:t>
      </w:r>
      <w:bookmarkEnd w:id="215"/>
    </w:p>
    <w:p w14:paraId="1FEC78A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793541E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F17CF6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68A262B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91F5E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6FA3984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BEF71ED">
      <w:pPr>
        <w:adjustRightInd w:val="0"/>
        <w:snapToGrid w:val="0"/>
        <w:spacing w:line="360" w:lineRule="auto"/>
        <w:outlineLvl w:val="9"/>
        <w:rPr>
          <w:rFonts w:ascii="宋体" w:hAnsi="宋体" w:eastAsia="宋体" w:cs="仿宋"/>
          <w:b/>
          <w:bCs/>
          <w:color w:val="auto"/>
          <w:sz w:val="24"/>
          <w:szCs w:val="24"/>
          <w:highlight w:val="none"/>
        </w:rPr>
      </w:pPr>
      <w:bookmarkStart w:id="216" w:name="_Toc28415"/>
      <w:r>
        <w:rPr>
          <w:rFonts w:hint="eastAsia" w:ascii="宋体" w:hAnsi="宋体" w:eastAsia="宋体" w:cs="仿宋"/>
          <w:b/>
          <w:bCs/>
          <w:color w:val="auto"/>
          <w:sz w:val="24"/>
          <w:szCs w:val="24"/>
          <w:highlight w:val="none"/>
        </w:rPr>
        <w:t>二、质疑项目基本情况</w:t>
      </w:r>
      <w:bookmarkEnd w:id="216"/>
    </w:p>
    <w:p w14:paraId="535630D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6657424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36BD6CD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4140E4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633AC0C2">
      <w:pPr>
        <w:adjustRightInd w:val="0"/>
        <w:snapToGrid w:val="0"/>
        <w:spacing w:line="360" w:lineRule="auto"/>
        <w:outlineLvl w:val="9"/>
        <w:rPr>
          <w:rFonts w:ascii="宋体" w:hAnsi="宋体" w:eastAsia="宋体" w:cs="仿宋"/>
          <w:b/>
          <w:bCs/>
          <w:color w:val="auto"/>
          <w:sz w:val="24"/>
          <w:szCs w:val="24"/>
          <w:highlight w:val="none"/>
        </w:rPr>
      </w:pPr>
      <w:bookmarkStart w:id="217" w:name="_Toc19014"/>
      <w:r>
        <w:rPr>
          <w:rFonts w:hint="eastAsia" w:ascii="宋体" w:hAnsi="宋体" w:eastAsia="宋体" w:cs="仿宋"/>
          <w:b/>
          <w:bCs/>
          <w:color w:val="auto"/>
          <w:sz w:val="24"/>
          <w:szCs w:val="24"/>
          <w:highlight w:val="none"/>
        </w:rPr>
        <w:t>三、质疑事项具体内容</w:t>
      </w:r>
      <w:bookmarkEnd w:id="217"/>
    </w:p>
    <w:p w14:paraId="1F19C47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0FB393E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4CDDB53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1C18120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43B0B69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244A1B1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8DF17B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3227BC6">
      <w:pPr>
        <w:adjustRightInd w:val="0"/>
        <w:snapToGrid w:val="0"/>
        <w:spacing w:line="360" w:lineRule="auto"/>
        <w:outlineLvl w:val="9"/>
        <w:rPr>
          <w:rFonts w:ascii="宋体" w:hAnsi="宋体" w:eastAsia="宋体" w:cs="仿宋"/>
          <w:b/>
          <w:bCs/>
          <w:color w:val="auto"/>
          <w:sz w:val="24"/>
          <w:szCs w:val="24"/>
          <w:highlight w:val="none"/>
        </w:rPr>
      </w:pPr>
      <w:bookmarkStart w:id="218" w:name="_Toc17919"/>
      <w:r>
        <w:rPr>
          <w:rFonts w:hint="eastAsia" w:ascii="宋体" w:hAnsi="宋体" w:eastAsia="宋体" w:cs="仿宋"/>
          <w:b/>
          <w:bCs/>
          <w:color w:val="auto"/>
          <w:sz w:val="24"/>
          <w:szCs w:val="24"/>
          <w:highlight w:val="none"/>
        </w:rPr>
        <w:t>四、与质疑事项相关的质疑请求</w:t>
      </w:r>
      <w:bookmarkEnd w:id="218"/>
    </w:p>
    <w:p w14:paraId="04926348">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7D7789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699FE6A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71EDC22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2D8725C">
      <w:pPr>
        <w:outlineLvl w:val="0"/>
        <w:rPr>
          <w:rFonts w:ascii="宋体" w:hAnsi="宋体" w:eastAsia="宋体"/>
          <w:b/>
          <w:color w:val="auto"/>
          <w:sz w:val="28"/>
          <w:szCs w:val="32"/>
          <w:highlight w:val="none"/>
        </w:rPr>
      </w:pPr>
      <w:bookmarkStart w:id="219" w:name="_Toc26836"/>
      <w:bookmarkStart w:id="220" w:name="_Toc9754"/>
      <w:r>
        <w:rPr>
          <w:rFonts w:hint="eastAsia" w:ascii="宋体" w:hAnsi="宋体" w:eastAsia="宋体"/>
          <w:b/>
          <w:color w:val="auto"/>
          <w:sz w:val="28"/>
          <w:szCs w:val="32"/>
          <w:highlight w:val="none"/>
        </w:rPr>
        <w:t>质疑函制作说明：</w:t>
      </w:r>
      <w:bookmarkEnd w:id="219"/>
      <w:bookmarkEnd w:id="220"/>
    </w:p>
    <w:p w14:paraId="60922D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1D2099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9DAB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60D7B2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FA9E7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pPr>
        <w:rPr>
          <w:highlight w:val="none"/>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CCAE1D4-B60A-41BA-9CCC-60133DB76640}"/>
  </w:font>
  <w:font w:name="Arial">
    <w:panose1 w:val="020B0604020202020204"/>
    <w:charset w:val="01"/>
    <w:family w:val="swiss"/>
    <w:pitch w:val="default"/>
    <w:sig w:usb0="E0002EFF" w:usb1="C000785B" w:usb2="00000009" w:usb3="00000000" w:csb0="400001FF" w:csb1="FFFF0000"/>
    <w:embedRegular r:id="rId2" w:fontKey="{1552B2AD-F196-4C34-A27C-263911E9980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7990F990-3F8A-4FC3-BB8D-27F95692614C}"/>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embedRegular r:id="rId4" w:fontKey="{2EE93178-A302-4541-8EAA-C98100625712}"/>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embedRegular r:id="rId5" w:fontKey="{A11DF9DE-FAE4-4139-9E13-135F37295A5A}"/>
  </w:font>
  <w:font w:name="仿宋">
    <w:panose1 w:val="02010609060101010101"/>
    <w:charset w:val="86"/>
    <w:family w:val="modern"/>
    <w:pitch w:val="default"/>
    <w:sig w:usb0="800002BF" w:usb1="38CF7CFA" w:usb2="00000016" w:usb3="00000000" w:csb0="00040001" w:csb1="00000000"/>
    <w:embedRegular r:id="rId6" w:fontKey="{0B32DB11-84F4-4E32-B120-96647E30C91A}"/>
  </w:font>
  <w:font w:name="仿宋_GB2312">
    <w:altName w:val="仿宋"/>
    <w:panose1 w:val="02010609030101010101"/>
    <w:charset w:val="86"/>
    <w:family w:val="modern"/>
    <w:pitch w:val="default"/>
    <w:sig w:usb0="00000000" w:usb1="00000000" w:usb2="00000000" w:usb3="00000000" w:csb0="00040000" w:csb1="00000000"/>
    <w:embedRegular r:id="rId7" w:fontKey="{576C4D53-7ECA-4DEA-8722-515F691168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7"/>
      <w:jc w:val="center"/>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A0C9A">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4A0C9A">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8"/>
      <w:jc w:val="left"/>
      <w:rPr>
        <w:rFonts w:ascii="宋体" w:hAnsi="宋体" w:eastAsia="宋体"/>
      </w:rPr>
    </w:pPr>
    <w:r>
      <w:rPr>
        <w:rFonts w:hint="eastAsia" w:ascii="宋体" w:hAnsi="宋体" w:eastAsia="宋体"/>
        <w:lang w:val="en-US" w:eastAsia="zh-CN"/>
      </w:rPr>
      <w:t>安徽省政府采购项目公开招标文件示范文本（服务类）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8"/>
      <w:jc w:val="left"/>
      <w:rPr>
        <w:rFonts w:hint="eastAsia"/>
      </w:rPr>
    </w:pPr>
    <w:r>
      <w:rPr>
        <w:rFonts w:hint="eastAsia" w:ascii="宋体" w:hAnsi="宋体" w:eastAsia="宋体"/>
        <w:lang w:val="en-US" w:eastAsia="zh-CN"/>
      </w:rPr>
      <w:t>安徽省政府采购项目公开招标文件示范文本（服务类）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Y2E2YzBiYWQzZjBlNzgxY2ViZmY2MzQ4MzVjMzEifQ=="/>
  </w:docVars>
  <w:rsids>
    <w:rsidRoot w:val="00172A27"/>
    <w:rsid w:val="00092AE4"/>
    <w:rsid w:val="00100BA1"/>
    <w:rsid w:val="00135135"/>
    <w:rsid w:val="0021506A"/>
    <w:rsid w:val="002F3455"/>
    <w:rsid w:val="00602D2D"/>
    <w:rsid w:val="00847DE1"/>
    <w:rsid w:val="009C512B"/>
    <w:rsid w:val="00B0507A"/>
    <w:rsid w:val="00BA1A55"/>
    <w:rsid w:val="00DE5743"/>
    <w:rsid w:val="00EF16FF"/>
    <w:rsid w:val="01017684"/>
    <w:rsid w:val="0117719B"/>
    <w:rsid w:val="013730A5"/>
    <w:rsid w:val="01457570"/>
    <w:rsid w:val="014720C5"/>
    <w:rsid w:val="017D4F5C"/>
    <w:rsid w:val="0180098F"/>
    <w:rsid w:val="019D4DF2"/>
    <w:rsid w:val="01AA3877"/>
    <w:rsid w:val="01B3556A"/>
    <w:rsid w:val="01B83CAA"/>
    <w:rsid w:val="01E25ABE"/>
    <w:rsid w:val="01E730A7"/>
    <w:rsid w:val="01E925F2"/>
    <w:rsid w:val="01F1594A"/>
    <w:rsid w:val="02144BFA"/>
    <w:rsid w:val="02404E4B"/>
    <w:rsid w:val="025E7D96"/>
    <w:rsid w:val="02686F3C"/>
    <w:rsid w:val="02950FA1"/>
    <w:rsid w:val="029640FE"/>
    <w:rsid w:val="02AF74E7"/>
    <w:rsid w:val="02BF15A4"/>
    <w:rsid w:val="03035935"/>
    <w:rsid w:val="03077138"/>
    <w:rsid w:val="034877EC"/>
    <w:rsid w:val="034D095E"/>
    <w:rsid w:val="035241C7"/>
    <w:rsid w:val="03534B9D"/>
    <w:rsid w:val="03675AE6"/>
    <w:rsid w:val="037153A5"/>
    <w:rsid w:val="039E740C"/>
    <w:rsid w:val="03A82CAD"/>
    <w:rsid w:val="03BB7AB1"/>
    <w:rsid w:val="03C36E72"/>
    <w:rsid w:val="03DF1EFE"/>
    <w:rsid w:val="03F11C32"/>
    <w:rsid w:val="04275653"/>
    <w:rsid w:val="043B6051"/>
    <w:rsid w:val="04936845"/>
    <w:rsid w:val="04986A1A"/>
    <w:rsid w:val="04B50EB1"/>
    <w:rsid w:val="04BD7D66"/>
    <w:rsid w:val="04DA2664"/>
    <w:rsid w:val="04DF5F2E"/>
    <w:rsid w:val="05377B18"/>
    <w:rsid w:val="05597A8E"/>
    <w:rsid w:val="055E6E53"/>
    <w:rsid w:val="05634469"/>
    <w:rsid w:val="05882122"/>
    <w:rsid w:val="058F34B0"/>
    <w:rsid w:val="05A32365"/>
    <w:rsid w:val="05A6031B"/>
    <w:rsid w:val="05AA02EA"/>
    <w:rsid w:val="05B227CB"/>
    <w:rsid w:val="05DA343D"/>
    <w:rsid w:val="06494EFE"/>
    <w:rsid w:val="06606BFB"/>
    <w:rsid w:val="06691F53"/>
    <w:rsid w:val="06846D8D"/>
    <w:rsid w:val="06A967F3"/>
    <w:rsid w:val="06B43B46"/>
    <w:rsid w:val="06DC0977"/>
    <w:rsid w:val="076822F3"/>
    <w:rsid w:val="07E777BB"/>
    <w:rsid w:val="07EE6511"/>
    <w:rsid w:val="08122176"/>
    <w:rsid w:val="08297BEC"/>
    <w:rsid w:val="08387FA9"/>
    <w:rsid w:val="086230FE"/>
    <w:rsid w:val="0870581B"/>
    <w:rsid w:val="08805F84"/>
    <w:rsid w:val="08966904"/>
    <w:rsid w:val="08DD2784"/>
    <w:rsid w:val="08E52849"/>
    <w:rsid w:val="08FD4BD5"/>
    <w:rsid w:val="09141FF7"/>
    <w:rsid w:val="091D0DD3"/>
    <w:rsid w:val="093305F6"/>
    <w:rsid w:val="09363C55"/>
    <w:rsid w:val="094D16B8"/>
    <w:rsid w:val="094E3682"/>
    <w:rsid w:val="096963CD"/>
    <w:rsid w:val="096E162E"/>
    <w:rsid w:val="0983678C"/>
    <w:rsid w:val="09976DD7"/>
    <w:rsid w:val="09BA51F2"/>
    <w:rsid w:val="09C33728"/>
    <w:rsid w:val="09D26E62"/>
    <w:rsid w:val="0A1B17B6"/>
    <w:rsid w:val="0A256191"/>
    <w:rsid w:val="0A314FFA"/>
    <w:rsid w:val="0A430D0D"/>
    <w:rsid w:val="0A4800D1"/>
    <w:rsid w:val="0A5E78F5"/>
    <w:rsid w:val="0A6749FB"/>
    <w:rsid w:val="0A79472F"/>
    <w:rsid w:val="0A9E0C56"/>
    <w:rsid w:val="0AB45767"/>
    <w:rsid w:val="0AC736EC"/>
    <w:rsid w:val="0ACC6B48"/>
    <w:rsid w:val="0B00275A"/>
    <w:rsid w:val="0B310B66"/>
    <w:rsid w:val="0B3626D0"/>
    <w:rsid w:val="0B460AB5"/>
    <w:rsid w:val="0B5750F6"/>
    <w:rsid w:val="0B6E3B68"/>
    <w:rsid w:val="0B7D3DAB"/>
    <w:rsid w:val="0BD460C1"/>
    <w:rsid w:val="0BDA2FAB"/>
    <w:rsid w:val="0BE800E8"/>
    <w:rsid w:val="0BF436E1"/>
    <w:rsid w:val="0BFE1B0E"/>
    <w:rsid w:val="0BFE313E"/>
    <w:rsid w:val="0C1C1816"/>
    <w:rsid w:val="0C3B5902"/>
    <w:rsid w:val="0C4274CE"/>
    <w:rsid w:val="0C5821E5"/>
    <w:rsid w:val="0C5B0590"/>
    <w:rsid w:val="0C9E222B"/>
    <w:rsid w:val="0CE560AB"/>
    <w:rsid w:val="0CEE6D0E"/>
    <w:rsid w:val="0CF54541"/>
    <w:rsid w:val="0D076022"/>
    <w:rsid w:val="0D2E35AF"/>
    <w:rsid w:val="0D2E7A52"/>
    <w:rsid w:val="0D564D5C"/>
    <w:rsid w:val="0D5A03EC"/>
    <w:rsid w:val="0D5A0848"/>
    <w:rsid w:val="0D6C5618"/>
    <w:rsid w:val="0D7A4A46"/>
    <w:rsid w:val="0D870F11"/>
    <w:rsid w:val="0DC83A03"/>
    <w:rsid w:val="0DF30D4B"/>
    <w:rsid w:val="0DFA5B87"/>
    <w:rsid w:val="0E097B78"/>
    <w:rsid w:val="0E0A401C"/>
    <w:rsid w:val="0E236E8B"/>
    <w:rsid w:val="0E7B6CC7"/>
    <w:rsid w:val="0E875C90"/>
    <w:rsid w:val="0E8F2773"/>
    <w:rsid w:val="0E9315ED"/>
    <w:rsid w:val="0EA31D7A"/>
    <w:rsid w:val="0EAD0785"/>
    <w:rsid w:val="0ED91C40"/>
    <w:rsid w:val="0EEF6D6E"/>
    <w:rsid w:val="0F607C6B"/>
    <w:rsid w:val="0F692FC4"/>
    <w:rsid w:val="0F9D2C6D"/>
    <w:rsid w:val="0FA43FFC"/>
    <w:rsid w:val="0FBA381F"/>
    <w:rsid w:val="0FD536AF"/>
    <w:rsid w:val="0FED7751"/>
    <w:rsid w:val="0FFA3C1C"/>
    <w:rsid w:val="10026281"/>
    <w:rsid w:val="10207B26"/>
    <w:rsid w:val="109B7BB5"/>
    <w:rsid w:val="10B01AF8"/>
    <w:rsid w:val="10B4760D"/>
    <w:rsid w:val="10B71B0D"/>
    <w:rsid w:val="10BB33AB"/>
    <w:rsid w:val="10C0771D"/>
    <w:rsid w:val="10D51608"/>
    <w:rsid w:val="10E6007E"/>
    <w:rsid w:val="10FA5A47"/>
    <w:rsid w:val="11382C4E"/>
    <w:rsid w:val="11550BC8"/>
    <w:rsid w:val="11604BF4"/>
    <w:rsid w:val="116752E1"/>
    <w:rsid w:val="11785740"/>
    <w:rsid w:val="118440E5"/>
    <w:rsid w:val="11B524F0"/>
    <w:rsid w:val="11C97D4A"/>
    <w:rsid w:val="11DF756D"/>
    <w:rsid w:val="121F796A"/>
    <w:rsid w:val="124B69B1"/>
    <w:rsid w:val="12527D3F"/>
    <w:rsid w:val="126D1B09"/>
    <w:rsid w:val="12837EF9"/>
    <w:rsid w:val="129621B1"/>
    <w:rsid w:val="12A12A75"/>
    <w:rsid w:val="12A72B1B"/>
    <w:rsid w:val="12AC38F3"/>
    <w:rsid w:val="12C7072D"/>
    <w:rsid w:val="12F72695"/>
    <w:rsid w:val="130A061A"/>
    <w:rsid w:val="13207E3D"/>
    <w:rsid w:val="132818B7"/>
    <w:rsid w:val="133E6515"/>
    <w:rsid w:val="13693592"/>
    <w:rsid w:val="13712447"/>
    <w:rsid w:val="13733397"/>
    <w:rsid w:val="13DF5603"/>
    <w:rsid w:val="13E316E0"/>
    <w:rsid w:val="13ED41C3"/>
    <w:rsid w:val="13ED62E1"/>
    <w:rsid w:val="1422388F"/>
    <w:rsid w:val="142E658A"/>
    <w:rsid w:val="1437543F"/>
    <w:rsid w:val="145204CA"/>
    <w:rsid w:val="146944C2"/>
    <w:rsid w:val="147541B9"/>
    <w:rsid w:val="148B12E6"/>
    <w:rsid w:val="14A64372"/>
    <w:rsid w:val="14D67581"/>
    <w:rsid w:val="14DB226E"/>
    <w:rsid w:val="14DE1D5E"/>
    <w:rsid w:val="14ED3D4F"/>
    <w:rsid w:val="151E6A48"/>
    <w:rsid w:val="15211C4B"/>
    <w:rsid w:val="15354147"/>
    <w:rsid w:val="15364E8A"/>
    <w:rsid w:val="155A67CD"/>
    <w:rsid w:val="156D6C3E"/>
    <w:rsid w:val="158E72E0"/>
    <w:rsid w:val="15AE34DE"/>
    <w:rsid w:val="15DB51D8"/>
    <w:rsid w:val="15EC4007"/>
    <w:rsid w:val="1602382A"/>
    <w:rsid w:val="160C28FB"/>
    <w:rsid w:val="161146EA"/>
    <w:rsid w:val="162A1B44"/>
    <w:rsid w:val="162E2871"/>
    <w:rsid w:val="16685D83"/>
    <w:rsid w:val="1672275E"/>
    <w:rsid w:val="16BC1C2B"/>
    <w:rsid w:val="17285513"/>
    <w:rsid w:val="172B6DB1"/>
    <w:rsid w:val="17371C20"/>
    <w:rsid w:val="17435EA8"/>
    <w:rsid w:val="17471E3D"/>
    <w:rsid w:val="174E359A"/>
    <w:rsid w:val="177B05E0"/>
    <w:rsid w:val="177C760C"/>
    <w:rsid w:val="178564C1"/>
    <w:rsid w:val="17B2302E"/>
    <w:rsid w:val="17B80644"/>
    <w:rsid w:val="17C70888"/>
    <w:rsid w:val="17E4768B"/>
    <w:rsid w:val="18057453"/>
    <w:rsid w:val="180970F2"/>
    <w:rsid w:val="18506ACF"/>
    <w:rsid w:val="185B5474"/>
    <w:rsid w:val="186D58D3"/>
    <w:rsid w:val="18737847"/>
    <w:rsid w:val="18814EDA"/>
    <w:rsid w:val="189C5D78"/>
    <w:rsid w:val="189E6C73"/>
    <w:rsid w:val="18B14F44"/>
    <w:rsid w:val="18D07033"/>
    <w:rsid w:val="18D524FF"/>
    <w:rsid w:val="18D71994"/>
    <w:rsid w:val="18DA7278"/>
    <w:rsid w:val="18E46922"/>
    <w:rsid w:val="18EB2C9C"/>
    <w:rsid w:val="190C483A"/>
    <w:rsid w:val="192D284D"/>
    <w:rsid w:val="1945415A"/>
    <w:rsid w:val="19481E9C"/>
    <w:rsid w:val="194A5652"/>
    <w:rsid w:val="195425EF"/>
    <w:rsid w:val="19874772"/>
    <w:rsid w:val="1990114D"/>
    <w:rsid w:val="19B1359D"/>
    <w:rsid w:val="19BD0194"/>
    <w:rsid w:val="1A2A3350"/>
    <w:rsid w:val="1A5A1E87"/>
    <w:rsid w:val="1A8D5817"/>
    <w:rsid w:val="1AAE4346"/>
    <w:rsid w:val="1AF851FC"/>
    <w:rsid w:val="1B4A1593"/>
    <w:rsid w:val="1B4D379A"/>
    <w:rsid w:val="1B6610FC"/>
    <w:rsid w:val="1B762CF0"/>
    <w:rsid w:val="1B933CF4"/>
    <w:rsid w:val="1B9C202B"/>
    <w:rsid w:val="1BAD248A"/>
    <w:rsid w:val="1BC21F3A"/>
    <w:rsid w:val="1BCF0653"/>
    <w:rsid w:val="1BE17132"/>
    <w:rsid w:val="1BFE0CCB"/>
    <w:rsid w:val="1C1B2F7B"/>
    <w:rsid w:val="1C1B5646"/>
    <w:rsid w:val="1C1E610B"/>
    <w:rsid w:val="1C8A6328"/>
    <w:rsid w:val="1C9F6277"/>
    <w:rsid w:val="1CB810E7"/>
    <w:rsid w:val="1D3D7B17"/>
    <w:rsid w:val="1D4B1E70"/>
    <w:rsid w:val="1D7C0366"/>
    <w:rsid w:val="1D94072F"/>
    <w:rsid w:val="1DDE4B7D"/>
    <w:rsid w:val="1DE008F5"/>
    <w:rsid w:val="1DE101C9"/>
    <w:rsid w:val="1E081BFA"/>
    <w:rsid w:val="1E083917"/>
    <w:rsid w:val="1E236A34"/>
    <w:rsid w:val="1E7554E1"/>
    <w:rsid w:val="1E96129B"/>
    <w:rsid w:val="1EAA4A5F"/>
    <w:rsid w:val="1EBA1AAE"/>
    <w:rsid w:val="1EC024D4"/>
    <w:rsid w:val="1EDB10BC"/>
    <w:rsid w:val="1EFA59E6"/>
    <w:rsid w:val="1F046865"/>
    <w:rsid w:val="1F1771BC"/>
    <w:rsid w:val="1F404002"/>
    <w:rsid w:val="1F4C0B6E"/>
    <w:rsid w:val="1FAD0CAB"/>
    <w:rsid w:val="1FDA1374"/>
    <w:rsid w:val="202A7DFC"/>
    <w:rsid w:val="204E5EB7"/>
    <w:rsid w:val="20586E69"/>
    <w:rsid w:val="20847881"/>
    <w:rsid w:val="20C81EE3"/>
    <w:rsid w:val="20E63CC8"/>
    <w:rsid w:val="20EF2BFD"/>
    <w:rsid w:val="20F70991"/>
    <w:rsid w:val="210466A8"/>
    <w:rsid w:val="211D59BC"/>
    <w:rsid w:val="21325751"/>
    <w:rsid w:val="21374CD0"/>
    <w:rsid w:val="21AB121A"/>
    <w:rsid w:val="21D00F87"/>
    <w:rsid w:val="21E03F02"/>
    <w:rsid w:val="22066450"/>
    <w:rsid w:val="22272617"/>
    <w:rsid w:val="22596EC8"/>
    <w:rsid w:val="2265586D"/>
    <w:rsid w:val="22833F45"/>
    <w:rsid w:val="22A5210D"/>
    <w:rsid w:val="22E545B0"/>
    <w:rsid w:val="22E5535D"/>
    <w:rsid w:val="22EC1AEA"/>
    <w:rsid w:val="22F97D63"/>
    <w:rsid w:val="2302130E"/>
    <w:rsid w:val="232E3EB1"/>
    <w:rsid w:val="23360FB7"/>
    <w:rsid w:val="233A2855"/>
    <w:rsid w:val="23401B0E"/>
    <w:rsid w:val="234353D1"/>
    <w:rsid w:val="235D1F05"/>
    <w:rsid w:val="235F22BC"/>
    <w:rsid w:val="236264C6"/>
    <w:rsid w:val="237A5348"/>
    <w:rsid w:val="239E2206"/>
    <w:rsid w:val="23D9610A"/>
    <w:rsid w:val="23E568B3"/>
    <w:rsid w:val="23EB6A35"/>
    <w:rsid w:val="23FF75FB"/>
    <w:rsid w:val="24013373"/>
    <w:rsid w:val="242B6642"/>
    <w:rsid w:val="247B1377"/>
    <w:rsid w:val="24E011DB"/>
    <w:rsid w:val="24F9229C"/>
    <w:rsid w:val="252B16E4"/>
    <w:rsid w:val="25302162"/>
    <w:rsid w:val="2557002B"/>
    <w:rsid w:val="257007B0"/>
    <w:rsid w:val="2593624D"/>
    <w:rsid w:val="259D3570"/>
    <w:rsid w:val="25A8619C"/>
    <w:rsid w:val="25B7103C"/>
    <w:rsid w:val="25D36F91"/>
    <w:rsid w:val="25FE400E"/>
    <w:rsid w:val="260C02FD"/>
    <w:rsid w:val="26152813"/>
    <w:rsid w:val="263C0693"/>
    <w:rsid w:val="26514969"/>
    <w:rsid w:val="26986044"/>
    <w:rsid w:val="26AA02F7"/>
    <w:rsid w:val="26B10373"/>
    <w:rsid w:val="26B66402"/>
    <w:rsid w:val="26C80178"/>
    <w:rsid w:val="26D13EAE"/>
    <w:rsid w:val="26EC030B"/>
    <w:rsid w:val="26FC7E22"/>
    <w:rsid w:val="26FE5E6C"/>
    <w:rsid w:val="27225ADA"/>
    <w:rsid w:val="2729673B"/>
    <w:rsid w:val="27AB1F74"/>
    <w:rsid w:val="27E601D4"/>
    <w:rsid w:val="27FF4722"/>
    <w:rsid w:val="280A6664"/>
    <w:rsid w:val="281713B7"/>
    <w:rsid w:val="284D302B"/>
    <w:rsid w:val="2869172C"/>
    <w:rsid w:val="2883374E"/>
    <w:rsid w:val="288E0F4E"/>
    <w:rsid w:val="289E73E3"/>
    <w:rsid w:val="28BB5EEC"/>
    <w:rsid w:val="28CD4903"/>
    <w:rsid w:val="28F434A6"/>
    <w:rsid w:val="28FB3B69"/>
    <w:rsid w:val="29080FCC"/>
    <w:rsid w:val="29096867"/>
    <w:rsid w:val="290A4A78"/>
    <w:rsid w:val="29663529"/>
    <w:rsid w:val="297B3BC8"/>
    <w:rsid w:val="2987431B"/>
    <w:rsid w:val="29B13146"/>
    <w:rsid w:val="29F43A2A"/>
    <w:rsid w:val="2A324774"/>
    <w:rsid w:val="2A6428AE"/>
    <w:rsid w:val="2A7A3E7F"/>
    <w:rsid w:val="2A8940C2"/>
    <w:rsid w:val="2A950CB9"/>
    <w:rsid w:val="2AB7478C"/>
    <w:rsid w:val="2ADC74DB"/>
    <w:rsid w:val="2B2500DD"/>
    <w:rsid w:val="2B3109E2"/>
    <w:rsid w:val="2B391645"/>
    <w:rsid w:val="2B473D61"/>
    <w:rsid w:val="2B7F799F"/>
    <w:rsid w:val="2BB22ED5"/>
    <w:rsid w:val="2BC929C8"/>
    <w:rsid w:val="2BCB321D"/>
    <w:rsid w:val="2BD33847"/>
    <w:rsid w:val="2BFF288E"/>
    <w:rsid w:val="2C0C4FAB"/>
    <w:rsid w:val="2C122E31"/>
    <w:rsid w:val="2C1527E6"/>
    <w:rsid w:val="2C626979"/>
    <w:rsid w:val="2C8109EC"/>
    <w:rsid w:val="2C894F11"/>
    <w:rsid w:val="2CA451E4"/>
    <w:rsid w:val="2CB74F17"/>
    <w:rsid w:val="2CBC3334"/>
    <w:rsid w:val="2CC3046D"/>
    <w:rsid w:val="2CCD0296"/>
    <w:rsid w:val="2D1C121E"/>
    <w:rsid w:val="2D35295B"/>
    <w:rsid w:val="2D572256"/>
    <w:rsid w:val="2D834DF9"/>
    <w:rsid w:val="2DBD030B"/>
    <w:rsid w:val="2DC0604D"/>
    <w:rsid w:val="2DC53663"/>
    <w:rsid w:val="2DF919BD"/>
    <w:rsid w:val="2E1B7727"/>
    <w:rsid w:val="2E50117F"/>
    <w:rsid w:val="2E580585"/>
    <w:rsid w:val="2E8B0409"/>
    <w:rsid w:val="2E9077CD"/>
    <w:rsid w:val="2EB060C2"/>
    <w:rsid w:val="2EC35DF5"/>
    <w:rsid w:val="2EF37D5C"/>
    <w:rsid w:val="2EF835C5"/>
    <w:rsid w:val="2EF91817"/>
    <w:rsid w:val="2F7455DA"/>
    <w:rsid w:val="2F8310E0"/>
    <w:rsid w:val="2F882B9B"/>
    <w:rsid w:val="2F9334A5"/>
    <w:rsid w:val="2F9652B7"/>
    <w:rsid w:val="2FB71D2D"/>
    <w:rsid w:val="2FCB375B"/>
    <w:rsid w:val="2FCC6F2B"/>
    <w:rsid w:val="2FD5161D"/>
    <w:rsid w:val="2FF81ACE"/>
    <w:rsid w:val="30314FE0"/>
    <w:rsid w:val="30442B30"/>
    <w:rsid w:val="305B3E0B"/>
    <w:rsid w:val="309335A5"/>
    <w:rsid w:val="30B874AF"/>
    <w:rsid w:val="30E0643F"/>
    <w:rsid w:val="30E6401D"/>
    <w:rsid w:val="311A0999"/>
    <w:rsid w:val="311C3B05"/>
    <w:rsid w:val="31344D88"/>
    <w:rsid w:val="315301E3"/>
    <w:rsid w:val="319475D5"/>
    <w:rsid w:val="31BB108F"/>
    <w:rsid w:val="31BE0AF5"/>
    <w:rsid w:val="31DE2F46"/>
    <w:rsid w:val="320578B6"/>
    <w:rsid w:val="320E382B"/>
    <w:rsid w:val="322F37A1"/>
    <w:rsid w:val="32534214"/>
    <w:rsid w:val="325A6415"/>
    <w:rsid w:val="326351F9"/>
    <w:rsid w:val="327A1535"/>
    <w:rsid w:val="329B2BE5"/>
    <w:rsid w:val="32A95302"/>
    <w:rsid w:val="32DF445D"/>
    <w:rsid w:val="32F040AA"/>
    <w:rsid w:val="32F12805"/>
    <w:rsid w:val="32F96543"/>
    <w:rsid w:val="330B4429"/>
    <w:rsid w:val="33466C5A"/>
    <w:rsid w:val="3381002D"/>
    <w:rsid w:val="33A37FA3"/>
    <w:rsid w:val="33A81699"/>
    <w:rsid w:val="33B026C0"/>
    <w:rsid w:val="33CB5089"/>
    <w:rsid w:val="33D30EC6"/>
    <w:rsid w:val="33DE5A2F"/>
    <w:rsid w:val="3400694E"/>
    <w:rsid w:val="3417273F"/>
    <w:rsid w:val="341F137F"/>
    <w:rsid w:val="342A2472"/>
    <w:rsid w:val="343B01DB"/>
    <w:rsid w:val="343E7CCC"/>
    <w:rsid w:val="345E211C"/>
    <w:rsid w:val="3463365C"/>
    <w:rsid w:val="346F257B"/>
    <w:rsid w:val="34A51AF9"/>
    <w:rsid w:val="34AA6624"/>
    <w:rsid w:val="34B00F04"/>
    <w:rsid w:val="34B32468"/>
    <w:rsid w:val="34C12DD7"/>
    <w:rsid w:val="34D15E0D"/>
    <w:rsid w:val="34D42E43"/>
    <w:rsid w:val="35006613"/>
    <w:rsid w:val="350902DA"/>
    <w:rsid w:val="354B6B44"/>
    <w:rsid w:val="354E2190"/>
    <w:rsid w:val="357316F6"/>
    <w:rsid w:val="35B538E8"/>
    <w:rsid w:val="35C918D1"/>
    <w:rsid w:val="35CF31EE"/>
    <w:rsid w:val="35D95EFE"/>
    <w:rsid w:val="35EB7B5A"/>
    <w:rsid w:val="36176A26"/>
    <w:rsid w:val="368F7018"/>
    <w:rsid w:val="36A466B6"/>
    <w:rsid w:val="36B67168"/>
    <w:rsid w:val="37066F38"/>
    <w:rsid w:val="37147EBE"/>
    <w:rsid w:val="3736112E"/>
    <w:rsid w:val="37695060"/>
    <w:rsid w:val="377320FF"/>
    <w:rsid w:val="377A101B"/>
    <w:rsid w:val="37B06E98"/>
    <w:rsid w:val="37C1344A"/>
    <w:rsid w:val="37CE75B8"/>
    <w:rsid w:val="37D6042A"/>
    <w:rsid w:val="37DD4AD6"/>
    <w:rsid w:val="37DF3574"/>
    <w:rsid w:val="38082ACA"/>
    <w:rsid w:val="38262F51"/>
    <w:rsid w:val="3846585A"/>
    <w:rsid w:val="388D19F8"/>
    <w:rsid w:val="38933C33"/>
    <w:rsid w:val="38995E18"/>
    <w:rsid w:val="38B874ED"/>
    <w:rsid w:val="38CC3AF8"/>
    <w:rsid w:val="39094D4C"/>
    <w:rsid w:val="39240C19"/>
    <w:rsid w:val="39292CF8"/>
    <w:rsid w:val="39334707"/>
    <w:rsid w:val="39404C26"/>
    <w:rsid w:val="39462149"/>
    <w:rsid w:val="3947471C"/>
    <w:rsid w:val="3959299B"/>
    <w:rsid w:val="3971469F"/>
    <w:rsid w:val="39A95BE7"/>
    <w:rsid w:val="39B0341A"/>
    <w:rsid w:val="39B60304"/>
    <w:rsid w:val="39B85EA1"/>
    <w:rsid w:val="39BD0A5B"/>
    <w:rsid w:val="39CA2D8A"/>
    <w:rsid w:val="39E11825"/>
    <w:rsid w:val="3A074661"/>
    <w:rsid w:val="3A4F77A4"/>
    <w:rsid w:val="3A6A67D9"/>
    <w:rsid w:val="3A881CA1"/>
    <w:rsid w:val="3AAF547F"/>
    <w:rsid w:val="3AD42514"/>
    <w:rsid w:val="3AE25855"/>
    <w:rsid w:val="3AF45588"/>
    <w:rsid w:val="3B00217F"/>
    <w:rsid w:val="3B561D9F"/>
    <w:rsid w:val="3B5B7B12"/>
    <w:rsid w:val="3B694A1D"/>
    <w:rsid w:val="3B7010B2"/>
    <w:rsid w:val="3B864CA5"/>
    <w:rsid w:val="3B8B3D12"/>
    <w:rsid w:val="3B9A7EDD"/>
    <w:rsid w:val="3BA725FA"/>
    <w:rsid w:val="3BC136BC"/>
    <w:rsid w:val="3BD50179"/>
    <w:rsid w:val="3C033CD5"/>
    <w:rsid w:val="3C0B2B89"/>
    <w:rsid w:val="3C0E4427"/>
    <w:rsid w:val="3C17152E"/>
    <w:rsid w:val="3C3E2F5F"/>
    <w:rsid w:val="3C601127"/>
    <w:rsid w:val="3C7B66FC"/>
    <w:rsid w:val="3C853690"/>
    <w:rsid w:val="3C885F88"/>
    <w:rsid w:val="3CDE204C"/>
    <w:rsid w:val="3D05582A"/>
    <w:rsid w:val="3D202664"/>
    <w:rsid w:val="3D264775"/>
    <w:rsid w:val="3D5D11C3"/>
    <w:rsid w:val="3D644B60"/>
    <w:rsid w:val="3D762284"/>
    <w:rsid w:val="3D7704B3"/>
    <w:rsid w:val="3D8C4692"/>
    <w:rsid w:val="3D933161"/>
    <w:rsid w:val="3DA2751D"/>
    <w:rsid w:val="3E1F0B6E"/>
    <w:rsid w:val="3E497999"/>
    <w:rsid w:val="3E5E3444"/>
    <w:rsid w:val="3E646581"/>
    <w:rsid w:val="3E900306"/>
    <w:rsid w:val="3E9E0EA9"/>
    <w:rsid w:val="3EB516C8"/>
    <w:rsid w:val="3EB66F78"/>
    <w:rsid w:val="3EE6343A"/>
    <w:rsid w:val="3F0D6C18"/>
    <w:rsid w:val="3F161F71"/>
    <w:rsid w:val="3F3D42AB"/>
    <w:rsid w:val="3F47212A"/>
    <w:rsid w:val="3F5E56C6"/>
    <w:rsid w:val="3F8A0269"/>
    <w:rsid w:val="3F9F1F66"/>
    <w:rsid w:val="3FD37E62"/>
    <w:rsid w:val="3FFE7DA2"/>
    <w:rsid w:val="4044666A"/>
    <w:rsid w:val="406712EA"/>
    <w:rsid w:val="406D3E12"/>
    <w:rsid w:val="408575C0"/>
    <w:rsid w:val="4093314D"/>
    <w:rsid w:val="40DF6392"/>
    <w:rsid w:val="40F9220A"/>
    <w:rsid w:val="41462BC1"/>
    <w:rsid w:val="41674009"/>
    <w:rsid w:val="416C725C"/>
    <w:rsid w:val="41703F20"/>
    <w:rsid w:val="41846EB2"/>
    <w:rsid w:val="41894C7C"/>
    <w:rsid w:val="41913B31"/>
    <w:rsid w:val="419D4283"/>
    <w:rsid w:val="419E3311"/>
    <w:rsid w:val="421E223B"/>
    <w:rsid w:val="422C3859"/>
    <w:rsid w:val="423A5D78"/>
    <w:rsid w:val="426B1F2F"/>
    <w:rsid w:val="42AA2522"/>
    <w:rsid w:val="43244531"/>
    <w:rsid w:val="43316BA3"/>
    <w:rsid w:val="43655275"/>
    <w:rsid w:val="43727992"/>
    <w:rsid w:val="43741BE7"/>
    <w:rsid w:val="43784FA8"/>
    <w:rsid w:val="43856243"/>
    <w:rsid w:val="43903CDF"/>
    <w:rsid w:val="4391606A"/>
    <w:rsid w:val="439B47F3"/>
    <w:rsid w:val="439C3B9D"/>
    <w:rsid w:val="43B35FE0"/>
    <w:rsid w:val="43E07893"/>
    <w:rsid w:val="443864E5"/>
    <w:rsid w:val="44496945"/>
    <w:rsid w:val="44615A3C"/>
    <w:rsid w:val="446B5CB5"/>
    <w:rsid w:val="449A3D36"/>
    <w:rsid w:val="44A616A1"/>
    <w:rsid w:val="44F56185"/>
    <w:rsid w:val="44FF34A7"/>
    <w:rsid w:val="45216F7A"/>
    <w:rsid w:val="452F5B3A"/>
    <w:rsid w:val="45392515"/>
    <w:rsid w:val="45455285"/>
    <w:rsid w:val="45494E2C"/>
    <w:rsid w:val="457810EA"/>
    <w:rsid w:val="457B0D80"/>
    <w:rsid w:val="45A57BAB"/>
    <w:rsid w:val="45A858ED"/>
    <w:rsid w:val="45B1505C"/>
    <w:rsid w:val="45B7168C"/>
    <w:rsid w:val="45B93656"/>
    <w:rsid w:val="45C2075D"/>
    <w:rsid w:val="45CA5863"/>
    <w:rsid w:val="460074D7"/>
    <w:rsid w:val="460912BA"/>
    <w:rsid w:val="46297A13"/>
    <w:rsid w:val="4689127A"/>
    <w:rsid w:val="46911D1D"/>
    <w:rsid w:val="46D5626E"/>
    <w:rsid w:val="46E55481"/>
    <w:rsid w:val="47064679"/>
    <w:rsid w:val="470B1C8F"/>
    <w:rsid w:val="471F1BDF"/>
    <w:rsid w:val="4723522B"/>
    <w:rsid w:val="473C453F"/>
    <w:rsid w:val="47527D1D"/>
    <w:rsid w:val="479B5ECC"/>
    <w:rsid w:val="47E50732"/>
    <w:rsid w:val="47E56984"/>
    <w:rsid w:val="47E81FD1"/>
    <w:rsid w:val="4824185C"/>
    <w:rsid w:val="487C605F"/>
    <w:rsid w:val="489857A5"/>
    <w:rsid w:val="489932CB"/>
    <w:rsid w:val="48AB5A85"/>
    <w:rsid w:val="48B3438D"/>
    <w:rsid w:val="48C12F4D"/>
    <w:rsid w:val="48E94BB7"/>
    <w:rsid w:val="48FD385A"/>
    <w:rsid w:val="491E0F2B"/>
    <w:rsid w:val="49310C32"/>
    <w:rsid w:val="49431BB4"/>
    <w:rsid w:val="49507A41"/>
    <w:rsid w:val="49865F45"/>
    <w:rsid w:val="499B0F49"/>
    <w:rsid w:val="49BC54C3"/>
    <w:rsid w:val="49E538D1"/>
    <w:rsid w:val="49EE386C"/>
    <w:rsid w:val="49F64E79"/>
    <w:rsid w:val="4A162E25"/>
    <w:rsid w:val="4A2D7CA7"/>
    <w:rsid w:val="4A2F2482"/>
    <w:rsid w:val="4A531BFE"/>
    <w:rsid w:val="4AA46683"/>
    <w:rsid w:val="4ACF1226"/>
    <w:rsid w:val="4AD66A58"/>
    <w:rsid w:val="4AF3565B"/>
    <w:rsid w:val="4B076EEB"/>
    <w:rsid w:val="4B4C0B1A"/>
    <w:rsid w:val="4B50680B"/>
    <w:rsid w:val="4B964046"/>
    <w:rsid w:val="4BB016BF"/>
    <w:rsid w:val="4BB41A6E"/>
    <w:rsid w:val="4BD40E87"/>
    <w:rsid w:val="4C0D2006"/>
    <w:rsid w:val="4C2B0BB7"/>
    <w:rsid w:val="4C3C28EB"/>
    <w:rsid w:val="4C4023DB"/>
    <w:rsid w:val="4C4D4AF8"/>
    <w:rsid w:val="4C6D0CF6"/>
    <w:rsid w:val="4CBB4158"/>
    <w:rsid w:val="4CBB5F06"/>
    <w:rsid w:val="4CCF375F"/>
    <w:rsid w:val="4CE03BBE"/>
    <w:rsid w:val="4CFB48EC"/>
    <w:rsid w:val="4D297313"/>
    <w:rsid w:val="4D3F6032"/>
    <w:rsid w:val="4D573E80"/>
    <w:rsid w:val="4D6C7200"/>
    <w:rsid w:val="4D7049C3"/>
    <w:rsid w:val="4D907392"/>
    <w:rsid w:val="4DAE7818"/>
    <w:rsid w:val="4DD7388E"/>
    <w:rsid w:val="4DFC6FAF"/>
    <w:rsid w:val="4E157897"/>
    <w:rsid w:val="4E3E0B9C"/>
    <w:rsid w:val="4E435DD2"/>
    <w:rsid w:val="4E4D5283"/>
    <w:rsid w:val="4E52289A"/>
    <w:rsid w:val="4E5877A0"/>
    <w:rsid w:val="4E604FB7"/>
    <w:rsid w:val="4E712D20"/>
    <w:rsid w:val="4E881E17"/>
    <w:rsid w:val="4EBB043F"/>
    <w:rsid w:val="4EFB4CDF"/>
    <w:rsid w:val="4F543AE0"/>
    <w:rsid w:val="4F786330"/>
    <w:rsid w:val="4F842056"/>
    <w:rsid w:val="4F8F45D1"/>
    <w:rsid w:val="4FB01626"/>
    <w:rsid w:val="4FBD4D5E"/>
    <w:rsid w:val="4FE47521"/>
    <w:rsid w:val="4FEA1220"/>
    <w:rsid w:val="4FF9121F"/>
    <w:rsid w:val="4FFC0517"/>
    <w:rsid w:val="50812FC2"/>
    <w:rsid w:val="50A82C45"/>
    <w:rsid w:val="50BD6410"/>
    <w:rsid w:val="50CA60D9"/>
    <w:rsid w:val="50E023DF"/>
    <w:rsid w:val="50E579F5"/>
    <w:rsid w:val="50EA6DB9"/>
    <w:rsid w:val="510065DD"/>
    <w:rsid w:val="51053BF3"/>
    <w:rsid w:val="511C6E87"/>
    <w:rsid w:val="51284CD2"/>
    <w:rsid w:val="514209A3"/>
    <w:rsid w:val="515A1860"/>
    <w:rsid w:val="515C7753"/>
    <w:rsid w:val="519F142B"/>
    <w:rsid w:val="51A82AC2"/>
    <w:rsid w:val="51AA471F"/>
    <w:rsid w:val="51B80C66"/>
    <w:rsid w:val="51CB2747"/>
    <w:rsid w:val="51E57C49"/>
    <w:rsid w:val="52080A47"/>
    <w:rsid w:val="520E2096"/>
    <w:rsid w:val="521C5BFD"/>
    <w:rsid w:val="521F1B5F"/>
    <w:rsid w:val="52232583"/>
    <w:rsid w:val="523A5B1F"/>
    <w:rsid w:val="525C3EFB"/>
    <w:rsid w:val="5268443A"/>
    <w:rsid w:val="526D2AE1"/>
    <w:rsid w:val="5294522F"/>
    <w:rsid w:val="52C378C2"/>
    <w:rsid w:val="52D61080"/>
    <w:rsid w:val="52EF06B7"/>
    <w:rsid w:val="52F60BC6"/>
    <w:rsid w:val="52FC2DD4"/>
    <w:rsid w:val="530028C4"/>
    <w:rsid w:val="530B18F6"/>
    <w:rsid w:val="532760A3"/>
    <w:rsid w:val="5355153C"/>
    <w:rsid w:val="53F57F4F"/>
    <w:rsid w:val="54177AB0"/>
    <w:rsid w:val="54192CA4"/>
    <w:rsid w:val="545B7804"/>
    <w:rsid w:val="54857525"/>
    <w:rsid w:val="54AC42B1"/>
    <w:rsid w:val="54B75204"/>
    <w:rsid w:val="54B94AEC"/>
    <w:rsid w:val="54ED6E78"/>
    <w:rsid w:val="55020B76"/>
    <w:rsid w:val="55197C6D"/>
    <w:rsid w:val="552D196B"/>
    <w:rsid w:val="552D36BF"/>
    <w:rsid w:val="55313209"/>
    <w:rsid w:val="553D4864"/>
    <w:rsid w:val="55410F72"/>
    <w:rsid w:val="554F2432"/>
    <w:rsid w:val="55556B89"/>
    <w:rsid w:val="557E5D22"/>
    <w:rsid w:val="55872E29"/>
    <w:rsid w:val="55AC4596"/>
    <w:rsid w:val="55B55BE8"/>
    <w:rsid w:val="55C45E2B"/>
    <w:rsid w:val="55E97640"/>
    <w:rsid w:val="55F33CC5"/>
    <w:rsid w:val="56075D18"/>
    <w:rsid w:val="56204D1B"/>
    <w:rsid w:val="565020BD"/>
    <w:rsid w:val="56666EE2"/>
    <w:rsid w:val="56707A15"/>
    <w:rsid w:val="56837A94"/>
    <w:rsid w:val="569A4DDE"/>
    <w:rsid w:val="56A47A0A"/>
    <w:rsid w:val="56AA5540"/>
    <w:rsid w:val="56BA722E"/>
    <w:rsid w:val="56C63E25"/>
    <w:rsid w:val="573050F9"/>
    <w:rsid w:val="577A1924"/>
    <w:rsid w:val="57945CD1"/>
    <w:rsid w:val="57B11E20"/>
    <w:rsid w:val="57B36733"/>
    <w:rsid w:val="57E07301"/>
    <w:rsid w:val="57FD5624"/>
    <w:rsid w:val="580C1D0B"/>
    <w:rsid w:val="5853793A"/>
    <w:rsid w:val="585F6F22"/>
    <w:rsid w:val="587578B0"/>
    <w:rsid w:val="58A22362"/>
    <w:rsid w:val="58B02697"/>
    <w:rsid w:val="58CD434A"/>
    <w:rsid w:val="58D5034F"/>
    <w:rsid w:val="58F307D5"/>
    <w:rsid w:val="58FC1D80"/>
    <w:rsid w:val="59284923"/>
    <w:rsid w:val="594F1EAF"/>
    <w:rsid w:val="595A2602"/>
    <w:rsid w:val="59896639"/>
    <w:rsid w:val="599B6DB6"/>
    <w:rsid w:val="59BB7545"/>
    <w:rsid w:val="59C77C98"/>
    <w:rsid w:val="5A037476"/>
    <w:rsid w:val="5A1F4E71"/>
    <w:rsid w:val="5A327942"/>
    <w:rsid w:val="5A3F1F24"/>
    <w:rsid w:val="5A5473DB"/>
    <w:rsid w:val="5A6B0CE3"/>
    <w:rsid w:val="5A7D2A4C"/>
    <w:rsid w:val="5A820063"/>
    <w:rsid w:val="5A8738CB"/>
    <w:rsid w:val="5A9A2114"/>
    <w:rsid w:val="5AC02939"/>
    <w:rsid w:val="5ACB37B8"/>
    <w:rsid w:val="5ADD173D"/>
    <w:rsid w:val="5B286E5C"/>
    <w:rsid w:val="5B4F74CF"/>
    <w:rsid w:val="5B55190F"/>
    <w:rsid w:val="5B5C4D58"/>
    <w:rsid w:val="5BA81D4B"/>
    <w:rsid w:val="5BD41E0C"/>
    <w:rsid w:val="5BE32D83"/>
    <w:rsid w:val="5BF31218"/>
    <w:rsid w:val="5BF76B9A"/>
    <w:rsid w:val="5BFC5BF3"/>
    <w:rsid w:val="5C441A74"/>
    <w:rsid w:val="5C45759A"/>
    <w:rsid w:val="5CA93FCD"/>
    <w:rsid w:val="5CD64696"/>
    <w:rsid w:val="5CED210B"/>
    <w:rsid w:val="5CFE60C6"/>
    <w:rsid w:val="5D047455"/>
    <w:rsid w:val="5D1E09AC"/>
    <w:rsid w:val="5D42488D"/>
    <w:rsid w:val="5D6A375C"/>
    <w:rsid w:val="5D9E6F62"/>
    <w:rsid w:val="5DB03139"/>
    <w:rsid w:val="5DC50992"/>
    <w:rsid w:val="5DC56BE4"/>
    <w:rsid w:val="5DCC7F73"/>
    <w:rsid w:val="5DD52A57"/>
    <w:rsid w:val="5DFB5069"/>
    <w:rsid w:val="5E08087F"/>
    <w:rsid w:val="5E091947"/>
    <w:rsid w:val="5E203E1A"/>
    <w:rsid w:val="5EA51973"/>
    <w:rsid w:val="5ED30E8D"/>
    <w:rsid w:val="5EF9755F"/>
    <w:rsid w:val="5F1115F5"/>
    <w:rsid w:val="5F7268F8"/>
    <w:rsid w:val="5F9C3975"/>
    <w:rsid w:val="5FA171DD"/>
    <w:rsid w:val="5FB962D5"/>
    <w:rsid w:val="5FC77254"/>
    <w:rsid w:val="5FCD3B2E"/>
    <w:rsid w:val="5FE570CA"/>
    <w:rsid w:val="5FF2089A"/>
    <w:rsid w:val="60373C42"/>
    <w:rsid w:val="60502D88"/>
    <w:rsid w:val="60694A74"/>
    <w:rsid w:val="607466A0"/>
    <w:rsid w:val="60813C60"/>
    <w:rsid w:val="60A70823"/>
    <w:rsid w:val="60DA0BF8"/>
    <w:rsid w:val="60F90953"/>
    <w:rsid w:val="60FA51E3"/>
    <w:rsid w:val="6111492D"/>
    <w:rsid w:val="611539DF"/>
    <w:rsid w:val="615362B5"/>
    <w:rsid w:val="617A5F38"/>
    <w:rsid w:val="6189617B"/>
    <w:rsid w:val="61B51583"/>
    <w:rsid w:val="61D14867"/>
    <w:rsid w:val="61D46475"/>
    <w:rsid w:val="61E84BD9"/>
    <w:rsid w:val="623F0207"/>
    <w:rsid w:val="62402CDD"/>
    <w:rsid w:val="62436329"/>
    <w:rsid w:val="624432E1"/>
    <w:rsid w:val="626915E4"/>
    <w:rsid w:val="62820DBF"/>
    <w:rsid w:val="628232F6"/>
    <w:rsid w:val="629152E7"/>
    <w:rsid w:val="62976675"/>
    <w:rsid w:val="629E0205"/>
    <w:rsid w:val="62EA2C49"/>
    <w:rsid w:val="62ED5038"/>
    <w:rsid w:val="631127C2"/>
    <w:rsid w:val="631942AE"/>
    <w:rsid w:val="631E0604"/>
    <w:rsid w:val="63387E58"/>
    <w:rsid w:val="633A3BD0"/>
    <w:rsid w:val="633A772C"/>
    <w:rsid w:val="63770981"/>
    <w:rsid w:val="638E799C"/>
    <w:rsid w:val="63957059"/>
    <w:rsid w:val="63B14A74"/>
    <w:rsid w:val="641309B4"/>
    <w:rsid w:val="64236413"/>
    <w:rsid w:val="6445282D"/>
    <w:rsid w:val="646F2D60"/>
    <w:rsid w:val="6481138B"/>
    <w:rsid w:val="64A137DB"/>
    <w:rsid w:val="64B60849"/>
    <w:rsid w:val="64DC3505"/>
    <w:rsid w:val="64F16511"/>
    <w:rsid w:val="65420B1A"/>
    <w:rsid w:val="656A02C9"/>
    <w:rsid w:val="658F5CE7"/>
    <w:rsid w:val="65C6174B"/>
    <w:rsid w:val="65E87914"/>
    <w:rsid w:val="66106E6A"/>
    <w:rsid w:val="66173D55"/>
    <w:rsid w:val="663E7D2D"/>
    <w:rsid w:val="66A72C8A"/>
    <w:rsid w:val="66AA4BC9"/>
    <w:rsid w:val="66C20165"/>
    <w:rsid w:val="672D1356"/>
    <w:rsid w:val="67A27F96"/>
    <w:rsid w:val="67CE6F5C"/>
    <w:rsid w:val="67F45911"/>
    <w:rsid w:val="67FB3025"/>
    <w:rsid w:val="67FD1E64"/>
    <w:rsid w:val="6813679E"/>
    <w:rsid w:val="685B7E50"/>
    <w:rsid w:val="68662D72"/>
    <w:rsid w:val="68682BEF"/>
    <w:rsid w:val="68694610"/>
    <w:rsid w:val="686B65DA"/>
    <w:rsid w:val="686D4100"/>
    <w:rsid w:val="689C49E5"/>
    <w:rsid w:val="68A839F1"/>
    <w:rsid w:val="68C83A2C"/>
    <w:rsid w:val="68E31F3D"/>
    <w:rsid w:val="68FE11FC"/>
    <w:rsid w:val="693D7F76"/>
    <w:rsid w:val="698A2A90"/>
    <w:rsid w:val="69935DE8"/>
    <w:rsid w:val="69A27DD9"/>
    <w:rsid w:val="69C75A92"/>
    <w:rsid w:val="69DA1D9A"/>
    <w:rsid w:val="69FF790C"/>
    <w:rsid w:val="6A3C283D"/>
    <w:rsid w:val="6A4175F2"/>
    <w:rsid w:val="6A7B2ACF"/>
    <w:rsid w:val="6ABC311D"/>
    <w:rsid w:val="6AC717A6"/>
    <w:rsid w:val="6AE82164"/>
    <w:rsid w:val="6AF74155"/>
    <w:rsid w:val="6B1B388E"/>
    <w:rsid w:val="6B3D1532"/>
    <w:rsid w:val="6B6317EA"/>
    <w:rsid w:val="6B831628"/>
    <w:rsid w:val="6B985938"/>
    <w:rsid w:val="6B9A77F2"/>
    <w:rsid w:val="6BE75F78"/>
    <w:rsid w:val="6C4B5B80"/>
    <w:rsid w:val="6C9205D9"/>
    <w:rsid w:val="6CA4030D"/>
    <w:rsid w:val="6CE34991"/>
    <w:rsid w:val="6D1763FC"/>
    <w:rsid w:val="6D316241"/>
    <w:rsid w:val="6D6F34FA"/>
    <w:rsid w:val="6D7101EF"/>
    <w:rsid w:val="6D851EEC"/>
    <w:rsid w:val="6DAF0D17"/>
    <w:rsid w:val="6DD427A1"/>
    <w:rsid w:val="6DDF5B5A"/>
    <w:rsid w:val="6E565636"/>
    <w:rsid w:val="6EA6036C"/>
    <w:rsid w:val="6EA86918"/>
    <w:rsid w:val="6EAA6BF7"/>
    <w:rsid w:val="6EB03039"/>
    <w:rsid w:val="6EB44436"/>
    <w:rsid w:val="6EDC49F8"/>
    <w:rsid w:val="6EE175F6"/>
    <w:rsid w:val="6EE3336E"/>
    <w:rsid w:val="6F0155A2"/>
    <w:rsid w:val="6F157D87"/>
    <w:rsid w:val="6F35524C"/>
    <w:rsid w:val="6F607BC9"/>
    <w:rsid w:val="6F64678E"/>
    <w:rsid w:val="6F6607E6"/>
    <w:rsid w:val="6F8F7052"/>
    <w:rsid w:val="6FBE3493"/>
    <w:rsid w:val="6FCD12F8"/>
    <w:rsid w:val="6FD1766A"/>
    <w:rsid w:val="6FD607DD"/>
    <w:rsid w:val="6FDB4045"/>
    <w:rsid w:val="6FFF2342"/>
    <w:rsid w:val="700A0487"/>
    <w:rsid w:val="70412B49"/>
    <w:rsid w:val="705D0E23"/>
    <w:rsid w:val="70AF2E01"/>
    <w:rsid w:val="70EB650A"/>
    <w:rsid w:val="71245BFC"/>
    <w:rsid w:val="71D260B4"/>
    <w:rsid w:val="71ED1E0E"/>
    <w:rsid w:val="71FE401B"/>
    <w:rsid w:val="722E00BF"/>
    <w:rsid w:val="722F68CA"/>
    <w:rsid w:val="723D2D95"/>
    <w:rsid w:val="723F4D5F"/>
    <w:rsid w:val="725134A0"/>
    <w:rsid w:val="725A3947"/>
    <w:rsid w:val="72C74D55"/>
    <w:rsid w:val="72D1172F"/>
    <w:rsid w:val="72D66D46"/>
    <w:rsid w:val="72F14819"/>
    <w:rsid w:val="73070F3B"/>
    <w:rsid w:val="730D09BA"/>
    <w:rsid w:val="73216213"/>
    <w:rsid w:val="733E234E"/>
    <w:rsid w:val="734B7734"/>
    <w:rsid w:val="73520AC2"/>
    <w:rsid w:val="73584C2C"/>
    <w:rsid w:val="737C5B3F"/>
    <w:rsid w:val="73C52B0E"/>
    <w:rsid w:val="73D03795"/>
    <w:rsid w:val="73D634A1"/>
    <w:rsid w:val="73E3796C"/>
    <w:rsid w:val="73E7745D"/>
    <w:rsid w:val="73EF00BF"/>
    <w:rsid w:val="73F77193"/>
    <w:rsid w:val="73FC458A"/>
    <w:rsid w:val="74485A21"/>
    <w:rsid w:val="745B5755"/>
    <w:rsid w:val="746740F9"/>
    <w:rsid w:val="7487654A"/>
    <w:rsid w:val="749137A7"/>
    <w:rsid w:val="74D80B53"/>
    <w:rsid w:val="751002ED"/>
    <w:rsid w:val="75105270"/>
    <w:rsid w:val="75503730"/>
    <w:rsid w:val="7554492F"/>
    <w:rsid w:val="756920F3"/>
    <w:rsid w:val="756B5E6B"/>
    <w:rsid w:val="75BF3AC1"/>
    <w:rsid w:val="75C37A55"/>
    <w:rsid w:val="75F45E61"/>
    <w:rsid w:val="75FB7FE4"/>
    <w:rsid w:val="76022D28"/>
    <w:rsid w:val="760360A4"/>
    <w:rsid w:val="765D3A06"/>
    <w:rsid w:val="766E0BFE"/>
    <w:rsid w:val="76852C06"/>
    <w:rsid w:val="7686785D"/>
    <w:rsid w:val="768865A9"/>
    <w:rsid w:val="76DD5829"/>
    <w:rsid w:val="77690189"/>
    <w:rsid w:val="77995C9A"/>
    <w:rsid w:val="779C67B0"/>
    <w:rsid w:val="779D01FC"/>
    <w:rsid w:val="77A13DC6"/>
    <w:rsid w:val="77AF64E3"/>
    <w:rsid w:val="77FE6B23"/>
    <w:rsid w:val="78250553"/>
    <w:rsid w:val="78393FFF"/>
    <w:rsid w:val="78454752"/>
    <w:rsid w:val="786365E0"/>
    <w:rsid w:val="788F1E71"/>
    <w:rsid w:val="78920ADD"/>
    <w:rsid w:val="78931961"/>
    <w:rsid w:val="78A21D8D"/>
    <w:rsid w:val="78AE3973"/>
    <w:rsid w:val="78D8504A"/>
    <w:rsid w:val="79050385"/>
    <w:rsid w:val="791F31F5"/>
    <w:rsid w:val="7936053E"/>
    <w:rsid w:val="79554E68"/>
    <w:rsid w:val="79951709"/>
    <w:rsid w:val="79B55092"/>
    <w:rsid w:val="79CB0C87"/>
    <w:rsid w:val="79E24222"/>
    <w:rsid w:val="79FC1788"/>
    <w:rsid w:val="7A4D1FE3"/>
    <w:rsid w:val="7A5944E4"/>
    <w:rsid w:val="7A7C39B1"/>
    <w:rsid w:val="7A85352B"/>
    <w:rsid w:val="7A9814B1"/>
    <w:rsid w:val="7AA26AD8"/>
    <w:rsid w:val="7ACA7190"/>
    <w:rsid w:val="7AEB249D"/>
    <w:rsid w:val="7B0B276E"/>
    <w:rsid w:val="7B3A1A33"/>
    <w:rsid w:val="7B4A7476"/>
    <w:rsid w:val="7B8330AA"/>
    <w:rsid w:val="7B851426"/>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9E08D4"/>
    <w:rsid w:val="7CA103C5"/>
    <w:rsid w:val="7CB974BC"/>
    <w:rsid w:val="7CC06294"/>
    <w:rsid w:val="7CC92729"/>
    <w:rsid w:val="7CEF2EDE"/>
    <w:rsid w:val="7D1F125E"/>
    <w:rsid w:val="7D2D1C58"/>
    <w:rsid w:val="7D586CD5"/>
    <w:rsid w:val="7D823D52"/>
    <w:rsid w:val="7D8F4629"/>
    <w:rsid w:val="7D985324"/>
    <w:rsid w:val="7D9D293A"/>
    <w:rsid w:val="7DC154DE"/>
    <w:rsid w:val="7DD141C0"/>
    <w:rsid w:val="7DDC134B"/>
    <w:rsid w:val="7E0871BD"/>
    <w:rsid w:val="7E17093E"/>
    <w:rsid w:val="7E6C128B"/>
    <w:rsid w:val="7E8B48A1"/>
    <w:rsid w:val="7E8F2A06"/>
    <w:rsid w:val="7E9B156F"/>
    <w:rsid w:val="7ECB1729"/>
    <w:rsid w:val="7EE342FA"/>
    <w:rsid w:val="7EE84089"/>
    <w:rsid w:val="7EF23159"/>
    <w:rsid w:val="7F1E5CFC"/>
    <w:rsid w:val="7F203823"/>
    <w:rsid w:val="7F315A30"/>
    <w:rsid w:val="7F4B1427"/>
    <w:rsid w:val="7F744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2">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2"/>
    <w:qFormat/>
    <w:uiPriority w:val="9"/>
    <w:pPr>
      <w:keepNext/>
      <w:keepLines/>
      <w:spacing w:before="260" w:after="260" w:line="416" w:lineRule="auto"/>
      <w:outlineLvl w:val="2"/>
    </w:pPr>
    <w:rPr>
      <w:b/>
      <w:bCs/>
      <w:sz w:val="32"/>
      <w:szCs w:val="32"/>
    </w:rPr>
  </w:style>
  <w:style w:type="paragraph" w:styleId="5">
    <w:name w:val="heading 4"/>
    <w:basedOn w:val="1"/>
    <w:next w:val="1"/>
    <w:link w:val="57"/>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9"/>
    <w:qFormat/>
    <w:uiPriority w:val="0"/>
    <w:pPr>
      <w:jc w:val="left"/>
    </w:pPr>
    <w:rPr>
      <w:rFonts w:ascii="Arial" w:hAnsi="Arial" w:eastAsia="黑体" w:cs="Arial"/>
    </w:rPr>
  </w:style>
  <w:style w:type="paragraph" w:styleId="9">
    <w:name w:val="Body Text"/>
    <w:basedOn w:val="1"/>
    <w:qFormat/>
    <w:uiPriority w:val="0"/>
    <w:pPr>
      <w:spacing w:after="120"/>
    </w:pPr>
    <w:rPr>
      <w:rFonts w:ascii="华文中宋" w:hAnsi="华文中宋" w:eastAsia="华文中宋" w:cs="华文中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9"/>
    <w:qFormat/>
    <w:uiPriority w:val="99"/>
    <w:rPr>
      <w:rFonts w:ascii="宋体" w:hAnsi="Courier New" w:eastAsia="宋体" w:cs="宋体"/>
      <w:szCs w:val="22"/>
    </w:rPr>
  </w:style>
  <w:style w:type="paragraph" w:styleId="15">
    <w:name w:val="Date"/>
    <w:basedOn w:val="1"/>
    <w:next w:val="1"/>
    <w:link w:val="46"/>
    <w:qFormat/>
    <w:uiPriority w:val="0"/>
    <w:rPr>
      <w:rFonts w:ascii="Arial" w:hAnsi="Arial" w:eastAsia="宋体" w:cs="Arial"/>
      <w:b/>
      <w:sz w:val="28"/>
    </w:rPr>
  </w:style>
  <w:style w:type="paragraph" w:styleId="16">
    <w:name w:val="Balloon Text"/>
    <w:basedOn w:val="1"/>
    <w:link w:val="33"/>
    <w:qFormat/>
    <w:uiPriority w:val="99"/>
    <w:rPr>
      <w:sz w:val="18"/>
      <w:szCs w:val="18"/>
    </w:rPr>
  </w:style>
  <w:style w:type="paragraph" w:styleId="17">
    <w:name w:val="footer"/>
    <w:basedOn w:val="1"/>
    <w:link w:val="38"/>
    <w:qFormat/>
    <w:uiPriority w:val="99"/>
    <w:pPr>
      <w:tabs>
        <w:tab w:val="center" w:pos="4153"/>
        <w:tab w:val="right" w:pos="8306"/>
      </w:tabs>
      <w:snapToGrid w:val="0"/>
      <w:jc w:val="left"/>
    </w:pPr>
    <w:rPr>
      <w:sz w:val="18"/>
      <w:szCs w:val="18"/>
    </w:rPr>
  </w:style>
  <w:style w:type="paragraph" w:styleId="18">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60"/>
    <w:qFormat/>
    <w:uiPriority w:val="99"/>
    <w:rPr>
      <w:rFonts w:ascii="方正仿宋_GB2312" w:hAnsi="方正仿宋_GB2312" w:eastAsia="方正仿宋_GB2312" w:cs="方正仿宋_GB2312"/>
      <w:b/>
      <w:bCs/>
    </w:rPr>
  </w:style>
  <w:style w:type="paragraph" w:styleId="24">
    <w:name w:val="Body Text First Indent"/>
    <w:basedOn w:val="9"/>
    <w:qFormat/>
    <w:uiPriority w:val="99"/>
    <w:pPr>
      <w:ind w:firstLine="420" w:firstLineChars="100"/>
    </w:pPr>
  </w:style>
  <w:style w:type="paragraph" w:styleId="25">
    <w:name w:val="Body Text First Indent 2"/>
    <w:next w:val="12"/>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paragraph" w:customStyle="1" w:styleId="32">
    <w:name w:val="表格文字"/>
    <w:basedOn w:val="1"/>
    <w:qFormat/>
    <w:uiPriority w:val="0"/>
    <w:rPr>
      <w:bCs/>
      <w:spacing w:val="10"/>
      <w:szCs w:val="20"/>
    </w:rPr>
  </w:style>
  <w:style w:type="character" w:customStyle="1" w:styleId="33">
    <w:name w:val="批注框文本 Char"/>
    <w:basedOn w:val="28"/>
    <w:link w:val="16"/>
    <w:qFormat/>
    <w:uiPriority w:val="99"/>
    <w:rPr>
      <w:rFonts w:ascii="方正仿宋_GB2312" w:hAnsi="方正仿宋_GB2312" w:eastAsia="方正仿宋_GB2312" w:cs="方正仿宋_GB2312"/>
      <w:sz w:val="18"/>
      <w:szCs w:val="18"/>
    </w:rPr>
  </w:style>
  <w:style w:type="paragraph" w:customStyle="1" w:styleId="34">
    <w:name w:val="正文（缩进）"/>
    <w:basedOn w:val="1"/>
    <w:qFormat/>
    <w:uiPriority w:val="0"/>
    <w:pPr>
      <w:widowControl/>
      <w:spacing w:before="156" w:after="156"/>
      <w:ind w:firstLine="480" w:firstLineChars="200"/>
      <w:jc w:val="left"/>
    </w:pPr>
    <w:rPr>
      <w:kern w:val="0"/>
      <w:sz w:val="24"/>
      <w:szCs w:val="24"/>
    </w:rPr>
  </w:style>
  <w:style w:type="paragraph" w:customStyle="1" w:styleId="35">
    <w:name w:val="xl31"/>
    <w:basedOn w:val="1"/>
    <w:qFormat/>
    <w:uiPriority w:val="0"/>
    <w:pPr>
      <w:widowControl/>
      <w:spacing w:before="100" w:beforeAutospacing="1" w:after="100" w:afterAutospacing="1"/>
      <w:jc w:val="center"/>
    </w:pPr>
    <w:rPr>
      <w:b/>
      <w:bCs/>
      <w:kern w:val="0"/>
      <w:sz w:val="28"/>
      <w:szCs w:val="28"/>
    </w:rPr>
  </w:style>
  <w:style w:type="paragraph" w:customStyle="1" w:styleId="36">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7">
    <w:name w:val="页眉 Char"/>
    <w:basedOn w:val="28"/>
    <w:link w:val="18"/>
    <w:qFormat/>
    <w:uiPriority w:val="99"/>
    <w:rPr>
      <w:rFonts w:ascii="方正仿宋_GB2312" w:hAnsi="方正仿宋_GB2312" w:eastAsia="方正仿宋_GB2312" w:cs="方正仿宋_GB2312"/>
      <w:sz w:val="18"/>
      <w:szCs w:val="18"/>
    </w:rPr>
  </w:style>
  <w:style w:type="character" w:customStyle="1" w:styleId="38">
    <w:name w:val="页脚 Char"/>
    <w:basedOn w:val="28"/>
    <w:link w:val="17"/>
    <w:qFormat/>
    <w:uiPriority w:val="99"/>
    <w:rPr>
      <w:rFonts w:ascii="方正仿宋_GB2312" w:hAnsi="方正仿宋_GB2312" w:eastAsia="方正仿宋_GB2312" w:cs="方正仿宋_GB2312"/>
      <w:sz w:val="18"/>
      <w:szCs w:val="18"/>
    </w:rPr>
  </w:style>
  <w:style w:type="character" w:customStyle="1" w:styleId="39">
    <w:name w:val="纯文本 Char"/>
    <w:link w:val="14"/>
    <w:qFormat/>
    <w:uiPriority w:val="0"/>
    <w:rPr>
      <w:rFonts w:ascii="宋体" w:hAnsi="Courier New"/>
    </w:rPr>
  </w:style>
  <w:style w:type="character" w:customStyle="1" w:styleId="40">
    <w:name w:val="纯文本 字符1"/>
    <w:basedOn w:val="28"/>
    <w:qFormat/>
    <w:uiPriority w:val="99"/>
    <w:rPr>
      <w:rFonts w:ascii="宋体" w:hAnsi="Courier New" w:cs="Courier New"/>
      <w:szCs w:val="20"/>
    </w:rPr>
  </w:style>
  <w:style w:type="character" w:customStyle="1" w:styleId="41">
    <w:name w:val="未处理的提及1"/>
    <w:basedOn w:val="28"/>
    <w:qFormat/>
    <w:uiPriority w:val="99"/>
    <w:rPr>
      <w:color w:val="605E5C"/>
      <w:shd w:val="clear" w:color="auto" w:fill="E1DFDD"/>
    </w:rPr>
  </w:style>
  <w:style w:type="paragraph" w:styleId="42">
    <w:name w:val="List Paragraph"/>
    <w:basedOn w:val="1"/>
    <w:qFormat/>
    <w:uiPriority w:val="34"/>
    <w:pPr>
      <w:ind w:firstLine="420" w:firstLineChars="200"/>
    </w:pPr>
  </w:style>
  <w:style w:type="paragraph" w:customStyle="1" w:styleId="43">
    <w:name w:val="Char Char Char Char Char Char Char1 Char"/>
    <w:basedOn w:val="1"/>
    <w:qFormat/>
    <w:uiPriority w:val="0"/>
    <w:rPr>
      <w:rFonts w:ascii="Arial" w:hAnsi="Arial" w:eastAsia="宋体" w:cs="Arial"/>
      <w:sz w:val="24"/>
    </w:rPr>
  </w:style>
  <w:style w:type="table" w:customStyle="1" w:styleId="44">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5">
    <w:name w:val="日期 字符"/>
    <w:basedOn w:val="28"/>
    <w:qFormat/>
    <w:uiPriority w:val="99"/>
    <w:rPr>
      <w:rFonts w:ascii="方正仿宋_GB2312" w:hAnsi="方正仿宋_GB2312" w:eastAsia="方正仿宋_GB2312" w:cs="方正仿宋_GB2312"/>
      <w:szCs w:val="20"/>
    </w:rPr>
  </w:style>
  <w:style w:type="character" w:customStyle="1" w:styleId="46">
    <w:name w:val="日期 Char"/>
    <w:link w:val="15"/>
    <w:qFormat/>
    <w:uiPriority w:val="0"/>
    <w:rPr>
      <w:rFonts w:ascii="Arial" w:hAnsi="Arial" w:eastAsia="宋体" w:cs="Arial"/>
      <w:b/>
      <w:sz w:val="28"/>
      <w:szCs w:val="20"/>
    </w:rPr>
  </w:style>
  <w:style w:type="character" w:customStyle="1" w:styleId="47">
    <w:name w:val="纯文本 Char1"/>
    <w:qFormat/>
    <w:uiPriority w:val="99"/>
    <w:rPr>
      <w:rFonts w:ascii="Arial" w:hAnsi="Arial" w:eastAsia="Arial"/>
      <w:kern w:val="2"/>
      <w:sz w:val="21"/>
      <w:lang w:val="en-US" w:eastAsia="zh-CN" w:bidi="ar-SA"/>
    </w:rPr>
  </w:style>
  <w:style w:type="character" w:customStyle="1" w:styleId="48">
    <w:name w:val="批注文字 Char"/>
    <w:basedOn w:val="28"/>
    <w:qFormat/>
    <w:uiPriority w:val="99"/>
    <w:rPr>
      <w:rFonts w:ascii="方正仿宋_GB2312" w:hAnsi="方正仿宋_GB2312" w:eastAsia="方正仿宋_GB2312" w:cs="方正仿宋_GB2312"/>
      <w:szCs w:val="20"/>
    </w:rPr>
  </w:style>
  <w:style w:type="character" w:customStyle="1" w:styleId="49">
    <w:name w:val="批注文字 Char1"/>
    <w:link w:val="8"/>
    <w:qFormat/>
    <w:uiPriority w:val="0"/>
    <w:rPr>
      <w:rFonts w:ascii="Arial" w:hAnsi="Arial" w:eastAsia="黑体" w:cs="Arial"/>
      <w:szCs w:val="20"/>
    </w:rPr>
  </w:style>
  <w:style w:type="character" w:customStyle="1" w:styleId="50">
    <w:name w:val="标题 1 Char"/>
    <w:basedOn w:val="28"/>
    <w:link w:val="2"/>
    <w:qFormat/>
    <w:uiPriority w:val="9"/>
    <w:rPr>
      <w:rFonts w:ascii="方正仿宋_GB2312" w:hAnsi="方正仿宋_GB2312" w:eastAsia="方正仿宋_GB2312" w:cs="方正仿宋_GB2312"/>
      <w:b/>
      <w:bCs/>
      <w:kern w:val="44"/>
      <w:sz w:val="44"/>
      <w:szCs w:val="44"/>
    </w:rPr>
  </w:style>
  <w:style w:type="paragraph" w:customStyle="1" w:styleId="51">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2">
    <w:name w:val="标题 3 Char"/>
    <w:basedOn w:val="28"/>
    <w:link w:val="4"/>
    <w:qFormat/>
    <w:uiPriority w:val="9"/>
    <w:rPr>
      <w:rFonts w:ascii="方正仿宋_GB2312" w:hAnsi="方正仿宋_GB2312" w:eastAsia="方正仿宋_GB2312" w:cs="方正仿宋_GB2312"/>
      <w:b/>
      <w:bCs/>
      <w:sz w:val="32"/>
      <w:szCs w:val="32"/>
    </w:rPr>
  </w:style>
  <w:style w:type="character" w:customStyle="1" w:styleId="53">
    <w:name w:val="fontstyle01"/>
    <w:basedOn w:val="28"/>
    <w:qFormat/>
    <w:uiPriority w:val="0"/>
    <w:rPr>
      <w:rFonts w:hint="eastAsia" w:ascii="宋体" w:hAnsi="宋体" w:eastAsia="宋体"/>
      <w:color w:val="000000"/>
      <w:sz w:val="22"/>
      <w:szCs w:val="22"/>
    </w:rPr>
  </w:style>
  <w:style w:type="character" w:customStyle="1" w:styleId="54">
    <w:name w:val="fontstyle21"/>
    <w:basedOn w:val="28"/>
    <w:qFormat/>
    <w:uiPriority w:val="0"/>
    <w:rPr>
      <w:rFonts w:hint="default" w:ascii="Therese" w:hAnsi="Therese"/>
      <w:color w:val="000000"/>
      <w:sz w:val="22"/>
      <w:szCs w:val="22"/>
    </w:rPr>
  </w:style>
  <w:style w:type="character" w:customStyle="1" w:styleId="55">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6">
    <w:name w:val="标题 4 字符"/>
    <w:basedOn w:val="28"/>
    <w:qFormat/>
    <w:uiPriority w:val="9"/>
    <w:rPr>
      <w:rFonts w:ascii="Cambria" w:hAnsi="Cambria" w:eastAsia="宋体" w:cs="宋体"/>
      <w:b/>
      <w:bCs/>
      <w:sz w:val="28"/>
      <w:szCs w:val="28"/>
    </w:rPr>
  </w:style>
  <w:style w:type="character" w:customStyle="1" w:styleId="57">
    <w:name w:val="标题 4 Char1"/>
    <w:link w:val="5"/>
    <w:qFormat/>
    <w:uiPriority w:val="0"/>
    <w:rPr>
      <w:rFonts w:ascii="方正仿宋_GB2312" w:hAnsi="方正仿宋_GB2312" w:eastAsia="方正仿宋_GB2312" w:cs="方正仿宋_GB2312"/>
      <w:b/>
      <w:bCs/>
      <w:sz w:val="28"/>
      <w:szCs w:val="28"/>
    </w:rPr>
  </w:style>
  <w:style w:type="character" w:customStyle="1" w:styleId="58">
    <w:name w:val="标题 4 Char"/>
    <w:qFormat/>
    <w:uiPriority w:val="0"/>
    <w:rPr>
      <w:rFonts w:ascii="Arial" w:hAnsi="Arial" w:eastAsia="Arial"/>
      <w:b/>
      <w:bCs/>
      <w:kern w:val="2"/>
      <w:sz w:val="28"/>
      <w:szCs w:val="28"/>
      <w:lang w:val="en-US" w:eastAsia="zh-CN" w:bidi="ar-SA"/>
    </w:rPr>
  </w:style>
  <w:style w:type="table" w:customStyle="1" w:styleId="59">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
    <w:name w:val="批注主题 Char"/>
    <w:basedOn w:val="49"/>
    <w:link w:val="23"/>
    <w:qFormat/>
    <w:uiPriority w:val="99"/>
    <w:rPr>
      <w:rFonts w:ascii="方正仿宋_GB2312" w:hAnsi="方正仿宋_GB2312" w:eastAsia="方正仿宋_GB2312" w:cs="方正仿宋_GB2312"/>
      <w:b/>
      <w:bCs/>
      <w:szCs w:val="20"/>
    </w:rPr>
  </w:style>
  <w:style w:type="table" w:customStyle="1" w:styleId="61">
    <w:name w:val="Table Normal"/>
    <w:qFormat/>
    <w:uiPriority w:val="0"/>
    <w:tblPr>
      <w:tblCellMar>
        <w:top w:w="0" w:type="dxa"/>
        <w:left w:w="0" w:type="dxa"/>
        <w:bottom w:w="0" w:type="dxa"/>
        <w:right w:w="0" w:type="dxa"/>
      </w:tblCellMar>
    </w:tblPr>
  </w:style>
  <w:style w:type="paragraph" w:customStyle="1" w:styleId="62">
    <w:name w:val="Table Text"/>
    <w:basedOn w:val="1"/>
    <w:qFormat/>
    <w:uiPriority w:val="0"/>
    <w:rPr>
      <w:rFonts w:ascii="Arial" w:hAnsi="Arial" w:eastAsia="Arial" w:cs="Arial"/>
      <w:sz w:val="21"/>
      <w:szCs w:val="21"/>
      <w:lang w:val="en-US" w:eastAsia="en-US" w:bidi="ar-SA"/>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qFormat/>
    <w:uiPriority w:val="0"/>
    <w:pPr>
      <w:ind w:firstLine="420" w:firstLineChars="200"/>
    </w:pPr>
    <w:rPr>
      <w:szCs w:val="21"/>
    </w:rPr>
  </w:style>
  <w:style w:type="paragraph" w:customStyle="1" w:styleId="65">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6">
    <w:name w:val="_Style 7"/>
    <w:basedOn w:val="1"/>
    <w:next w:val="42"/>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44</Pages>
  <Words>1277</Words>
  <Characters>1405</Characters>
  <Lines>1</Lines>
  <Paragraphs>1</Paragraphs>
  <TotalTime>59</TotalTime>
  <ScaleCrop>false</ScaleCrop>
  <LinksUpToDate>false</LinksUpToDate>
  <CharactersWithSpaces>1485</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王啸</cp:lastModifiedBy>
  <cp:lastPrinted>2019-12-07T15:18:00Z</cp:lastPrinted>
  <dcterms:modified xsi:type="dcterms:W3CDTF">2026-07-09T08:44:08Z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F16A326A20414061AE21255AD88F9FB9_13</vt:lpwstr>
  </property>
  <property fmtid="{D5CDD505-2E9C-101B-9397-08002B2CF9AE}" pid="4" name="KSOTemplateDocerSaveRecord">
    <vt:lpwstr>eyJoZGlkIjoiOTYzOTdlODliYTEwNTAyNWRmZTgxYzUzNjc4MDQ1OGIiLCJ1c2VySWQiOiI0Mjg4OTc4MDUifQ==</vt:lpwstr>
  </property>
</Properties>
</file>