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default" w:ascii="宋体" w:hAnsi="宋体" w:eastAsia="宋体" w:cs="宋体"/>
          <w:b/>
          <w:color w:val="auto"/>
          <w:spacing w:val="20"/>
          <w:kern w:val="0"/>
          <w:sz w:val="32"/>
          <w:szCs w:val="32"/>
          <w:highlight w:val="none"/>
          <w:u w:val="single"/>
          <w:lang w:val="en-US"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滁州市第一人民医院冷冻切片机采购项目（二次）</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CZYY-2026-48</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7</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_Toc29510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0B494D3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_Toc31732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_Toc31732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983FEE5">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_Toc11431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_Toc11431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45285B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_Toc22859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_Toc22859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980CF28">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_Toc31314 </w:instrText>
      </w:r>
      <w:r>
        <w:rPr>
          <w:rFonts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kern w:val="2"/>
          <w:sz w:val="24"/>
          <w:szCs w:val="24"/>
          <w:highlight w:val="none"/>
          <w:lang w:val="en-US" w:eastAsia="zh-CN" w:bidi="ar-SA"/>
        </w:rPr>
        <w:t>第五章</w:t>
      </w:r>
      <w:r>
        <w:rPr>
          <w:rFonts w:hint="eastAsia" w:cs="@仿宋_GB2312" w:asciiTheme="minorEastAsia" w:hAnsiTheme="minorEastAsia"/>
          <w:color w:val="auto"/>
          <w:kern w:val="2"/>
          <w:sz w:val="24"/>
          <w:szCs w:val="24"/>
          <w:highlight w:val="none"/>
          <w:lang w:val="en-US" w:eastAsia="zh-CN" w:bidi="ar-SA"/>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_Toc31314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4C0E563">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_Toc14549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_Toc14549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F41026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_Toc5430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_Toc5430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滁州市第一人民医院冷冻切片机采购项目（二次）</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24日</w:t>
      </w:r>
      <w:r>
        <w:rPr>
          <w:rFonts w:hint="eastAsia" w:ascii="宋体" w:hAnsi="宋体" w:eastAsia="宋体" w:cs="宋体"/>
          <w:bCs/>
          <w:color w:val="auto"/>
          <w:sz w:val="24"/>
          <w:szCs w:val="24"/>
          <w:highlight w:val="none"/>
          <w:u w:val="single"/>
          <w:lang w:bidi="ar"/>
        </w:rPr>
        <w:t>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3" w:name="_Toc35393621"/>
      <w:bookmarkEnd w:id="3"/>
      <w:bookmarkStart w:id="4" w:name="_Toc35393790"/>
      <w:bookmarkEnd w:id="4"/>
      <w:bookmarkStart w:id="5" w:name="_Toc28359079"/>
      <w:bookmarkEnd w:id="5"/>
      <w:bookmarkStart w:id="6" w:name="_Toc58430305"/>
      <w:bookmarkEnd w:id="6"/>
      <w:bookmarkStart w:id="7" w:name="_Toc28359002"/>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CZYY-2026-48</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项目名称：滁州市第一人民医院冷冻切片机采购项目（二次）</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预算金额：20万元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最高限价：20万元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不得高于最高限价，否则，按无效投标处理。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bidi="ar"/>
        </w:rPr>
        <w:t>冷冻切片机。</w:t>
      </w:r>
    </w:p>
    <w:p w14:paraId="1A54DE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合同履行期限：自接到采购人通知后，30个日历天内完成供货、安装及调试。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9" w:name="_Toc58430306"/>
      <w:bookmarkEnd w:id="9"/>
      <w:bookmarkStart w:id="10" w:name="_Toc28359003"/>
      <w:bookmarkEnd w:id="10"/>
      <w:bookmarkStart w:id="11" w:name="_Toc35393791"/>
      <w:bookmarkEnd w:id="11"/>
      <w:bookmarkStart w:id="12" w:name="_Toc35393622"/>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2773EC04">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lang w:bidi="ar"/>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kern w:val="2"/>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kern w:val="2"/>
          <w:sz w:val="24"/>
          <w:szCs w:val="24"/>
          <w:highlight w:val="none"/>
          <w:u w:val="none"/>
          <w:lang w:val="en-US" w:eastAsia="zh-CN" w:bidi="ar"/>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15" w:name="_Toc35393792"/>
      <w:bookmarkEnd w:id="15"/>
      <w:bookmarkStart w:id="16" w:name="_Toc35393623"/>
      <w:bookmarkEnd w:id="16"/>
      <w:bookmarkStart w:id="17" w:name="_Toc58430307"/>
      <w:r>
        <w:rPr>
          <w:rFonts w:hint="eastAsia" w:ascii="宋体" w:hAnsi="宋体" w:eastAsia="宋体" w:cs="宋体"/>
          <w:b/>
          <w:bCs/>
          <w:color w:val="auto"/>
          <w:sz w:val="24"/>
          <w:szCs w:val="24"/>
          <w:highlight w:val="none"/>
          <w:lang w:bidi="ar"/>
        </w:rPr>
        <w:t>三、获取招标文件</w:t>
      </w:r>
      <w:bookmarkEnd w:id="17"/>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17</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24日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9"/>
        <w:rPr>
          <w:rFonts w:hint="eastAsia" w:ascii="宋体" w:hAnsi="宋体" w:eastAsia="宋体"/>
          <w:b/>
          <w:bCs/>
          <w:color w:val="auto"/>
          <w:sz w:val="24"/>
          <w:szCs w:val="24"/>
          <w:highlight w:val="none"/>
        </w:rPr>
      </w:pPr>
      <w:bookmarkStart w:id="18" w:name="_Toc28359005"/>
      <w:bookmarkEnd w:id="18"/>
      <w:bookmarkStart w:id="19" w:name="_Toc35393793"/>
      <w:bookmarkEnd w:id="19"/>
      <w:bookmarkStart w:id="20" w:name="_Toc35393624"/>
      <w:bookmarkEnd w:id="20"/>
      <w:bookmarkStart w:id="21" w:name="_Toc28359082"/>
      <w:bookmarkEnd w:id="21"/>
      <w:bookmarkStart w:id="22" w:name="_Toc58430308"/>
      <w:r>
        <w:rPr>
          <w:rFonts w:hint="eastAsia" w:ascii="宋体" w:hAnsi="宋体" w:eastAsia="宋体" w:cs="宋体"/>
          <w:b/>
          <w:bCs/>
          <w:color w:val="auto"/>
          <w:sz w:val="24"/>
          <w:szCs w:val="24"/>
          <w:highlight w:val="none"/>
          <w:lang w:bidi="ar"/>
        </w:rPr>
        <w:t>四、</w:t>
      </w:r>
      <w:bookmarkEnd w:id="22"/>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24日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3" w:name="_Toc28359007"/>
      <w:bookmarkEnd w:id="23"/>
      <w:bookmarkStart w:id="24" w:name="_Toc58430309"/>
      <w:bookmarkEnd w:id="24"/>
      <w:bookmarkStart w:id="25" w:name="_Toc35393794"/>
      <w:bookmarkEnd w:id="25"/>
      <w:bookmarkStart w:id="26" w:name="_Toc35393625"/>
      <w:bookmarkEnd w:id="26"/>
      <w:bookmarkStart w:id="27" w:name="_Toc28359084"/>
      <w:r>
        <w:rPr>
          <w:rFonts w:hint="eastAsia" w:ascii="宋体" w:hAnsi="宋体" w:eastAsia="宋体" w:cs="宋体"/>
          <w:b/>
          <w:bCs/>
          <w:color w:val="auto"/>
          <w:sz w:val="24"/>
          <w:szCs w:val="24"/>
          <w:highlight w:val="none"/>
          <w:lang w:bidi="ar"/>
        </w:rPr>
        <w:t>五、公告期限</w:t>
      </w:r>
      <w:bookmarkEnd w:id="27"/>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8" w:name="_Toc58430310"/>
      <w:bookmarkEnd w:id="28"/>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29" w:name="_Toc7265"/>
      <w:bookmarkEnd w:id="29"/>
      <w:bookmarkStart w:id="30"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0"/>
      <w:r>
        <w:rPr>
          <w:rFonts w:hint="eastAsia" w:ascii="宋体" w:hAnsi="宋体" w:eastAsia="宋体" w:cs="宋体"/>
          <w:b/>
          <w:bCs/>
          <w:color w:val="auto"/>
          <w:sz w:val="24"/>
          <w:szCs w:val="24"/>
          <w:highlight w:val="none"/>
          <w:lang w:bidi="ar"/>
        </w:rPr>
        <w:t>对本次招标提出询问，请按以下方式联系</w:t>
      </w:r>
    </w:p>
    <w:p w14:paraId="71E8430D">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22C39E61">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滁州市第一人民医院</w:t>
      </w:r>
    </w:p>
    <w:p w14:paraId="5888AD57">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滁州市醉翁西路369号</w:t>
      </w:r>
    </w:p>
    <w:p w14:paraId="0F693311">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设备科</w:t>
      </w:r>
    </w:p>
    <w:p w14:paraId="73A3F984">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0550-3526031、13965952881</w:t>
      </w:r>
    </w:p>
    <w:p w14:paraId="14EFA2C6">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2.采购代理、部门信息</w:t>
      </w:r>
    </w:p>
    <w:p w14:paraId="3F5D321A">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安徽百士德工程咨询有限公司、招标办</w:t>
      </w:r>
    </w:p>
    <w:p w14:paraId="3F830F70">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 xml:space="preserve">滁州市会峰西路72-11号 </w:t>
      </w:r>
    </w:p>
    <w:p w14:paraId="221A1C53">
      <w:pPr>
        <w:keepNext w:val="0"/>
        <w:keepLines w:val="0"/>
        <w:pageBreakBefore w:val="0"/>
        <w:widowControl w:val="0"/>
        <w:suppressLineNumbers w:val="0"/>
        <w:kinsoku/>
        <w:overflowPunct/>
        <w:topLinePunct w:val="0"/>
        <w:autoSpaceDE w:val="0"/>
        <w:autoSpaceDN/>
        <w:bidi w:val="0"/>
        <w:adjustRightInd/>
        <w:snapToGrid/>
        <w:spacing w:beforeAutospacing="0" w:after="0" w:afterAutospacing="0" w:line="440" w:lineRule="exact"/>
        <w:ind w:left="0" w:right="0" w:firstLine="480" w:firstLineChars="200"/>
        <w:jc w:val="both"/>
        <w:textAlignment w:val="auto"/>
        <w:rPr>
          <w:rFonts w:hint="default" w:ascii="@仿宋_GB2312" w:hAnsi="@仿宋_GB2312" w:eastAsia="宋体" w:cs="@仿宋_GB2312"/>
          <w:color w:val="auto"/>
          <w:kern w:val="2"/>
          <w:sz w:val="21"/>
          <w:szCs w:val="21"/>
          <w:highlight w:val="none"/>
          <w:lang w:val="en-US"/>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吕倩、招标办</w:t>
      </w:r>
    </w:p>
    <w:p w14:paraId="5756E536">
      <w:pPr>
        <w:spacing w:line="360" w:lineRule="auto"/>
        <w:ind w:firstLine="480" w:firstLineChars="200"/>
        <w:jc w:val="both"/>
        <w:outlineLvl w:val="0"/>
        <w:rPr>
          <w:rFonts w:hint="eastAsia" w:asciiTheme="minorEastAsia" w:hAnsiTheme="minorEastAsia" w:eastAsiaTheme="minorEastAsia"/>
          <w:b/>
          <w:color w:val="auto"/>
          <w:sz w:val="28"/>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0550-3011399、15178499373</w:t>
      </w:r>
      <w:r>
        <w:rPr>
          <w:rFonts w:hint="eastAsia" w:ascii="宋体" w:hAnsi="宋体" w:eastAsia="宋体" w:cs="@仿宋_GB2312"/>
          <w:color w:val="auto"/>
          <w:kern w:val="2"/>
          <w:sz w:val="24"/>
          <w:szCs w:val="24"/>
          <w:highlight w:val="none"/>
          <w:u w:val="single"/>
          <w:lang w:val="en-US" w:eastAsia="zh-CN" w:bidi="ar"/>
        </w:rPr>
        <w:t>、0550-3506032</w:t>
      </w:r>
    </w:p>
    <w:p w14:paraId="37B8740D">
      <w:pPr>
        <w:pStyle w:val="9"/>
        <w:rPr>
          <w:rFonts w:hint="eastAsia"/>
          <w:color w:val="auto"/>
          <w:highlight w:val="none"/>
        </w:rPr>
      </w:pPr>
    </w:p>
    <w:p w14:paraId="55EC8F21">
      <w:pPr>
        <w:pStyle w:val="10"/>
        <w:rPr>
          <w:rFonts w:hint="eastAsia"/>
        </w:rPr>
      </w:pPr>
      <w:bookmarkStart w:id="116" w:name="_GoBack"/>
      <w:bookmarkEnd w:id="116"/>
    </w:p>
    <w:p w14:paraId="2DA39ABF">
      <w:pPr>
        <w:spacing w:line="360" w:lineRule="auto"/>
        <w:jc w:val="center"/>
        <w:outlineLvl w:val="0"/>
        <w:rPr>
          <w:rFonts w:hint="eastAsia" w:asciiTheme="minorEastAsia" w:hAnsiTheme="minorEastAsia" w:eastAsiaTheme="minorEastAsia"/>
          <w:b/>
          <w:color w:val="auto"/>
          <w:sz w:val="28"/>
          <w:highlight w:val="none"/>
        </w:rPr>
      </w:pPr>
      <w:bookmarkStart w:id="31"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14:paraId="78745D49">
      <w:pPr>
        <w:spacing w:line="360" w:lineRule="auto"/>
        <w:jc w:val="center"/>
        <w:outlineLvl w:val="9"/>
        <w:rPr>
          <w:rFonts w:hint="eastAsia" w:asciiTheme="minorEastAsia" w:hAnsiTheme="minorEastAsia" w:eastAsiaTheme="minorEastAsia"/>
          <w:b/>
          <w:color w:val="auto"/>
          <w:sz w:val="24"/>
          <w:highlight w:val="none"/>
        </w:rPr>
      </w:pPr>
      <w:bookmarkStart w:id="32" w:name="_Toc3114"/>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23日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24日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24日</w:t>
            </w:r>
            <w:r>
              <w:rPr>
                <w:rFonts w:hint="eastAsia" w:ascii="宋体" w:hAnsi="宋体" w:eastAsia="宋体" w:cs="宋体"/>
                <w:color w:val="auto"/>
                <w:sz w:val="24"/>
                <w:szCs w:val="24"/>
                <w:highlight w:val="none"/>
                <w:u w:val="single"/>
                <w:lang w:val="en-US" w:eastAsia="zh-CN" w:bidi="ar"/>
              </w:rPr>
              <w:t>15时</w:t>
            </w:r>
            <w:r>
              <w:rPr>
                <w:rFonts w:hint="eastAsia" w:ascii="宋体" w:hAnsi="宋体" w:eastAsia="宋体" w:cs="宋体"/>
                <w:color w:val="auto"/>
                <w:sz w:val="24"/>
                <w:szCs w:val="24"/>
                <w:highlight w:val="none"/>
                <w:u w:val="single"/>
                <w:lang w:bidi="ar"/>
              </w:rPr>
              <w:t>00分</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1500</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val="en-US" w:eastAsia="zh-CN"/>
              </w:rPr>
              <w:t>共2次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其中第一次开标</w:t>
            </w:r>
            <w:r>
              <w:rPr>
                <w:rFonts w:hint="eastAsia" w:ascii="宋体" w:hAnsi="宋体" w:eastAsia="宋体" w:cs="宋体"/>
                <w:color w:val="auto"/>
                <w:sz w:val="24"/>
                <w:szCs w:val="24"/>
                <w:highlight w:val="none"/>
                <w:u w:val="single"/>
              </w:rPr>
              <w:t>评审费</w:t>
            </w:r>
            <w:r>
              <w:rPr>
                <w:rFonts w:hint="eastAsia" w:ascii="宋体" w:hAnsi="宋体" w:eastAsia="宋体" w:cs="宋体"/>
                <w:color w:val="auto"/>
                <w:sz w:val="24"/>
                <w:szCs w:val="24"/>
                <w:highlight w:val="none"/>
                <w:u w:val="single"/>
                <w:lang w:val="en-US" w:eastAsia="zh-CN"/>
              </w:rPr>
              <w:t>1240元，第二次开标评审费</w:t>
            </w:r>
            <w:r>
              <w:rPr>
                <w:rFonts w:hint="eastAsia" w:ascii="宋体" w:hAnsi="宋体" w:eastAsia="宋体" w:cs="宋体"/>
                <w:color w:val="auto"/>
                <w:sz w:val="24"/>
                <w:szCs w:val="24"/>
                <w:highlight w:val="none"/>
                <w:u w:val="single"/>
              </w:rPr>
              <w:t>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EB0C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color w:val="auto"/>
          <w:sz w:val="24"/>
          <w:highlight w:val="none"/>
          <w:lang w:val="en-US"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2B03B7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18.2本单位限额以下采用公开招标的项目，投标截止后投标人不足3家或者通过资格审查或符合性审查的投标人不足3家的，除采购任务取消情形外，按照以下方式处理：</w:t>
      </w:r>
    </w:p>
    <w:p w14:paraId="11FB41B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（1）招标文件存在不合理条款或者招标程序不符合规定的，采购人、采购代理机构改正后依规重新招标；</w:t>
      </w:r>
    </w:p>
    <w:p w14:paraId="43B0BA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招标过程中经过二次挂网提交投标文件或者经评审实质性响应招标文件要求的供应商只有两家时，可转为竞争性谈判（符合本条情形的供应商最低数量可以为两家）；</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143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117"/>
        <w:gridCol w:w="6011"/>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2"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5"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5" w:type="pct"/>
            <w:vAlign w:val="center"/>
          </w:tcPr>
          <w:p w14:paraId="78CAD55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22"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5"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5"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自接到采购人通知后，30个日历天内完成供货、安装及调试。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2"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6" w:name="_Toc4843"/>
            <w:bookmarkStart w:id="47" w:name="_Toc7421"/>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3385"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不少于叁年</w:t>
            </w:r>
          </w:p>
        </w:tc>
      </w:tr>
    </w:tbl>
    <w:p w14:paraId="091C92D7">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p w14:paraId="13182BAF">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采购项目需求概况</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因现在术中快速病理较多，原有冷冻切片机使用已久，不能满足临床科室的需求，需要购买1台能满足使用科室对各种组织的快速病理切片处理，尤其对乳腺组织的冷冻切片机。</w:t>
      </w:r>
    </w:p>
    <w:p w14:paraId="15246CE3">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2.参数要求</w:t>
      </w:r>
      <w:r>
        <w:rPr>
          <w:rFonts w:hint="eastAsia" w:ascii="宋体" w:hAnsi="宋体" w:cs="宋体"/>
          <w:b/>
          <w:bCs/>
          <w:i w:val="0"/>
          <w:iCs w:val="0"/>
          <w:caps w:val="0"/>
          <w:color w:val="auto"/>
          <w:spacing w:val="0"/>
          <w:sz w:val="24"/>
          <w:szCs w:val="24"/>
          <w:highlight w:val="none"/>
          <w:shd w:val="clear" w:color="auto" w:fill="FFFFFF"/>
          <w:lang w:val="en-US" w:eastAsia="zh-CN"/>
        </w:rPr>
        <w:t>：</w:t>
      </w:r>
    </w:p>
    <w:bookmarkEnd w:id="46"/>
    <w:bookmarkEnd w:id="47"/>
    <w:tbl>
      <w:tblPr>
        <w:tblStyle w:val="27"/>
        <w:tblW w:w="6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86"/>
        <w:gridCol w:w="7193"/>
        <w:gridCol w:w="700"/>
        <w:gridCol w:w="806"/>
      </w:tblGrid>
      <w:tr w14:paraId="3ED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44" w:type="pct"/>
            <w:vAlign w:val="center"/>
          </w:tcPr>
          <w:p w14:paraId="7C33D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30" w:type="pct"/>
            <w:vAlign w:val="center"/>
          </w:tcPr>
          <w:p w14:paraId="4924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493" w:type="pct"/>
            <w:vAlign w:val="center"/>
          </w:tcPr>
          <w:p w14:paraId="0CAB8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340" w:type="pct"/>
            <w:vAlign w:val="center"/>
          </w:tcPr>
          <w:p w14:paraId="52027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391" w:type="pct"/>
            <w:vAlign w:val="center"/>
          </w:tcPr>
          <w:p w14:paraId="3C97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2AC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344" w:type="pct"/>
            <w:vAlign w:val="center"/>
          </w:tcPr>
          <w:p w14:paraId="001A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30" w:type="pct"/>
            <w:vAlign w:val="center"/>
          </w:tcPr>
          <w:p w14:paraId="0AE9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b/>
                <w:bCs/>
                <w:color w:val="auto"/>
                <w:sz w:val="24"/>
                <w:szCs w:val="18"/>
                <w:highlight w:val="none"/>
              </w:rPr>
              <w:t>冷冻切片机</w:t>
            </w:r>
          </w:p>
        </w:tc>
        <w:tc>
          <w:tcPr>
            <w:tcW w:w="3493" w:type="pct"/>
            <w:vAlign w:val="center"/>
          </w:tcPr>
          <w:p w14:paraId="007928DB">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1、▲电动进样，手动切片。独立温度调节按键控制面板+独立厚度调节按键控制面板+彩色触摸屏多重控制操作</w:t>
            </w:r>
            <w:r>
              <w:rPr>
                <w:rFonts w:hint="eastAsia" w:ascii="宋体" w:hAnsi="宋体" w:eastAsia="宋体" w:cs="宋体"/>
                <w:b/>
                <w:bCs w:val="0"/>
                <w:color w:val="auto"/>
                <w:spacing w:val="10"/>
                <w:kern w:val="2"/>
                <w:sz w:val="24"/>
                <w:szCs w:val="24"/>
                <w:highlight w:val="none"/>
                <w:lang w:val="en-US" w:eastAsia="zh-CN" w:bidi="ar"/>
              </w:rPr>
              <w:t>（投标时须提供证明材料）。</w:t>
            </w:r>
          </w:p>
          <w:p w14:paraId="6C5673E5">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2、≥4点制冷,包括但不限于箱体、样本头、速冻台、刀架均可单独制冷,并可单独调节温度</w:t>
            </w:r>
            <w:r>
              <w:rPr>
                <w:rFonts w:hint="eastAsia" w:ascii="宋体" w:hAnsi="宋体" w:eastAsia="宋体" w:cs="宋体"/>
                <w:b/>
                <w:bCs w:val="0"/>
                <w:color w:val="auto"/>
                <w:spacing w:val="10"/>
                <w:kern w:val="2"/>
                <w:sz w:val="24"/>
                <w:szCs w:val="24"/>
                <w:highlight w:val="none"/>
                <w:lang w:val="en-US" w:eastAsia="zh-CN" w:bidi="ar"/>
              </w:rPr>
              <w:t>(投标时须提供证明材料)。</w:t>
            </w:r>
          </w:p>
          <w:p w14:paraId="6CE9EB62">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3、▲具有≥20组的温度存储程序,可存储刀架和样本头温度，并一键调用。</w:t>
            </w:r>
          </w:p>
          <w:p w14:paraId="7461014C">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4、冷冻箱体内有配置可视温度传感器，用于实时监测箱体实际温度</w:t>
            </w:r>
            <w:r>
              <w:rPr>
                <w:rFonts w:hint="eastAsia" w:ascii="宋体" w:hAnsi="宋体" w:eastAsia="宋体" w:cs="宋体"/>
                <w:b/>
                <w:bCs w:val="0"/>
                <w:color w:val="auto"/>
                <w:spacing w:val="10"/>
                <w:kern w:val="2"/>
                <w:sz w:val="24"/>
                <w:szCs w:val="24"/>
                <w:highlight w:val="none"/>
                <w:lang w:val="en-US" w:eastAsia="zh-CN" w:bidi="ar"/>
              </w:rPr>
              <w:t>（投标时提供实物图证明）</w:t>
            </w:r>
          </w:p>
          <w:p w14:paraId="02D9FB60">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5、机身上实体按键≥11个</w:t>
            </w:r>
            <w:r>
              <w:rPr>
                <w:rFonts w:hint="eastAsia" w:ascii="宋体" w:hAnsi="宋体" w:eastAsia="宋体" w:cs="宋体"/>
                <w:b/>
                <w:bCs w:val="0"/>
                <w:color w:val="auto"/>
                <w:spacing w:val="10"/>
                <w:kern w:val="2"/>
                <w:sz w:val="24"/>
                <w:szCs w:val="24"/>
                <w:highlight w:val="none"/>
                <w:lang w:val="en-US" w:eastAsia="zh-CN" w:bidi="ar"/>
              </w:rPr>
              <w:t>（投标时提供实物图证明）</w:t>
            </w:r>
          </w:p>
          <w:p w14:paraId="78F94557">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6、具备进样提示音、切片提示音和回缩提示音，【</w:t>
            </w:r>
            <w:r>
              <w:rPr>
                <w:rFonts w:hint="eastAsia" w:ascii="宋体" w:hAnsi="宋体" w:eastAsia="宋体" w:cs="宋体"/>
                <w:b/>
                <w:bCs w:val="0"/>
                <w:color w:val="auto"/>
                <w:spacing w:val="10"/>
                <w:kern w:val="2"/>
                <w:sz w:val="24"/>
                <w:szCs w:val="24"/>
                <w:highlight w:val="none"/>
                <w:lang w:val="en-US" w:eastAsia="zh-CN" w:bidi="ar"/>
              </w:rPr>
              <w:t>（投标时提供软件界面截图证明材料（具有声音警示符号）】</w:t>
            </w:r>
            <w:r>
              <w:rPr>
                <w:rFonts w:hint="eastAsia" w:ascii="宋体" w:hAnsi="宋体" w:eastAsia="宋体" w:cs="宋体"/>
                <w:bCs/>
                <w:color w:val="auto"/>
                <w:spacing w:val="10"/>
                <w:kern w:val="2"/>
                <w:sz w:val="24"/>
                <w:szCs w:val="24"/>
                <w:highlight w:val="none"/>
                <w:lang w:val="en-US" w:eastAsia="zh-CN" w:bidi="ar"/>
              </w:rPr>
              <w:t>声音可关闭。</w:t>
            </w:r>
          </w:p>
          <w:p w14:paraId="2CE97B5C">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7、★样本回缩：0-250um可调</w:t>
            </w:r>
            <w:r>
              <w:rPr>
                <w:rFonts w:hint="eastAsia" w:ascii="宋体" w:hAnsi="宋体" w:eastAsia="宋体" w:cs="宋体"/>
                <w:b/>
                <w:bCs w:val="0"/>
                <w:color w:val="auto"/>
                <w:spacing w:val="10"/>
                <w:kern w:val="2"/>
                <w:sz w:val="24"/>
                <w:szCs w:val="24"/>
                <w:highlight w:val="none"/>
                <w:lang w:val="en-US" w:eastAsia="zh-CN" w:bidi="ar"/>
              </w:rPr>
              <w:t>（投标时提供软件界面截图证明材料）。</w:t>
            </w:r>
          </w:p>
          <w:p w14:paraId="4C3EAF91">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lang w:val="en-US" w:eastAsia="zh-CN" w:bidi="ar"/>
              </w:rPr>
            </w:pPr>
            <w:r>
              <w:rPr>
                <w:rFonts w:hint="eastAsia" w:ascii="宋体" w:hAnsi="宋体" w:eastAsia="宋体" w:cs="宋体"/>
                <w:bCs/>
                <w:color w:val="auto"/>
                <w:spacing w:val="10"/>
                <w:kern w:val="2"/>
                <w:sz w:val="24"/>
                <w:szCs w:val="24"/>
                <w:highlight w:val="none"/>
                <w:lang w:val="en-US" w:eastAsia="zh-CN" w:bidi="ar"/>
              </w:rPr>
              <w:t>8、★修片厚度范围：1-800µm</w:t>
            </w:r>
            <w:r>
              <w:rPr>
                <w:rFonts w:hint="eastAsia" w:ascii="宋体" w:hAnsi="宋体" w:eastAsia="宋体" w:cs="宋体"/>
                <w:b/>
                <w:bCs w:val="0"/>
                <w:color w:val="auto"/>
                <w:spacing w:val="10"/>
                <w:kern w:val="2"/>
                <w:sz w:val="24"/>
                <w:szCs w:val="24"/>
                <w:highlight w:val="none"/>
                <w:lang w:val="en-US" w:eastAsia="zh-CN" w:bidi="ar"/>
              </w:rPr>
              <w:t>（投标时提供软件界面截图证明材料）；</w:t>
            </w:r>
          </w:p>
          <w:p w14:paraId="684CCA4B">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80" w:firstLineChars="184"/>
              <w:jc w:val="both"/>
              <w:textAlignment w:val="auto"/>
              <w:rPr>
                <w:rFonts w:hint="default" w:ascii="宋体" w:hAnsi="宋体" w:eastAsia="宋体" w:cs="宋体"/>
                <w:b/>
                <w:bCs w:val="0"/>
                <w:color w:val="auto"/>
                <w:spacing w:val="10"/>
                <w:kern w:val="2"/>
                <w:sz w:val="24"/>
                <w:szCs w:val="24"/>
                <w:highlight w:val="none"/>
                <w:lang w:val="en-US"/>
              </w:rPr>
            </w:pPr>
            <w:r>
              <w:rPr>
                <w:rFonts w:hint="eastAsia" w:ascii="宋体" w:hAnsi="宋体" w:eastAsia="宋体" w:cs="宋体"/>
                <w:b/>
                <w:bCs w:val="0"/>
                <w:color w:val="auto"/>
                <w:spacing w:val="10"/>
                <w:kern w:val="2"/>
                <w:sz w:val="24"/>
                <w:szCs w:val="24"/>
                <w:highlight w:val="none"/>
                <w:lang w:val="en-US" w:eastAsia="zh-CN" w:bidi="ar"/>
              </w:rPr>
              <w:t>下列（①－⑤项不用提供软件截图，提供证明材料即可）</w:t>
            </w:r>
          </w:p>
          <w:p w14:paraId="51743097">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lang w:val="en-US" w:eastAsia="zh-CN" w:bidi="ar"/>
              </w:rPr>
            </w:pPr>
            <w:r>
              <w:rPr>
                <w:rFonts w:hint="eastAsia" w:ascii="宋体" w:hAnsi="宋体" w:eastAsia="宋体" w:cs="宋体"/>
                <w:bCs/>
                <w:color w:val="auto"/>
                <w:spacing w:val="10"/>
                <w:kern w:val="2"/>
                <w:sz w:val="24"/>
                <w:szCs w:val="24"/>
                <w:highlight w:val="none"/>
                <w:lang w:val="en-US" w:eastAsia="zh-CN" w:bidi="ar"/>
              </w:rPr>
              <w:t>①1-10µm以1µm为步长；</w:t>
            </w:r>
          </w:p>
          <w:p w14:paraId="66FDCF5A">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lang w:val="en-US" w:eastAsia="zh-CN" w:bidi="ar"/>
              </w:rPr>
            </w:pPr>
            <w:r>
              <w:rPr>
                <w:rFonts w:hint="eastAsia" w:ascii="宋体" w:hAnsi="宋体" w:eastAsia="宋体" w:cs="宋体"/>
                <w:bCs/>
                <w:color w:val="auto"/>
                <w:spacing w:val="10"/>
                <w:kern w:val="2"/>
                <w:sz w:val="24"/>
                <w:szCs w:val="24"/>
                <w:highlight w:val="none"/>
                <w:lang w:val="en-US" w:eastAsia="zh-CN" w:bidi="ar"/>
              </w:rPr>
              <w:t>②10-20µm以2µm为步长；</w:t>
            </w:r>
          </w:p>
          <w:p w14:paraId="376B12AD">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lang w:val="en-US" w:eastAsia="zh-CN" w:bidi="ar"/>
              </w:rPr>
            </w:pPr>
            <w:r>
              <w:rPr>
                <w:rFonts w:hint="eastAsia" w:ascii="宋体" w:hAnsi="宋体" w:eastAsia="宋体" w:cs="宋体"/>
                <w:bCs/>
                <w:color w:val="auto"/>
                <w:spacing w:val="10"/>
                <w:kern w:val="2"/>
                <w:sz w:val="24"/>
                <w:szCs w:val="24"/>
                <w:highlight w:val="none"/>
                <w:lang w:val="en-US" w:eastAsia="zh-CN" w:bidi="ar"/>
              </w:rPr>
              <w:t>③20-50µm以5µm为步长；</w:t>
            </w:r>
          </w:p>
          <w:p w14:paraId="086D4C68">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lang w:val="en-US" w:eastAsia="zh-CN" w:bidi="ar"/>
              </w:rPr>
            </w:pPr>
            <w:r>
              <w:rPr>
                <w:rFonts w:hint="eastAsia" w:ascii="宋体" w:hAnsi="宋体" w:eastAsia="宋体" w:cs="宋体"/>
                <w:bCs/>
                <w:color w:val="auto"/>
                <w:spacing w:val="10"/>
                <w:kern w:val="2"/>
                <w:sz w:val="24"/>
                <w:szCs w:val="24"/>
                <w:highlight w:val="none"/>
                <w:lang w:val="en-US" w:eastAsia="zh-CN" w:bidi="ar"/>
              </w:rPr>
              <w:t>④50-100µm以10µm为步长；</w:t>
            </w:r>
          </w:p>
          <w:p w14:paraId="64EE5E07">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lang w:val="en-US" w:eastAsia="zh-CN" w:bidi="ar"/>
              </w:rPr>
            </w:pPr>
            <w:r>
              <w:rPr>
                <w:rFonts w:hint="eastAsia" w:ascii="宋体" w:hAnsi="宋体" w:eastAsia="宋体" w:cs="宋体"/>
                <w:bCs/>
                <w:color w:val="auto"/>
                <w:spacing w:val="10"/>
                <w:kern w:val="2"/>
                <w:sz w:val="24"/>
                <w:szCs w:val="24"/>
                <w:highlight w:val="none"/>
                <w:lang w:val="en-US" w:eastAsia="zh-CN" w:bidi="ar"/>
              </w:rPr>
              <w:t>⑤100-800µm以50µm为步长。</w:t>
            </w:r>
          </w:p>
          <w:p w14:paraId="5594F778">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9、▲样本托要求为圆形底座，可根据组织形态随意旋转定位切片角度；可适配样本托尺寸≥4种</w:t>
            </w:r>
            <w:r>
              <w:rPr>
                <w:rFonts w:hint="eastAsia" w:ascii="宋体" w:hAnsi="宋体" w:eastAsia="宋体" w:cs="宋体"/>
                <w:b/>
                <w:bCs w:val="0"/>
                <w:color w:val="auto"/>
                <w:spacing w:val="10"/>
                <w:kern w:val="2"/>
                <w:sz w:val="24"/>
                <w:szCs w:val="24"/>
                <w:highlight w:val="none"/>
                <w:lang w:val="en-US" w:eastAsia="zh-CN" w:bidi="ar"/>
              </w:rPr>
              <w:t>（投标时提供实物图证明）。</w:t>
            </w:r>
          </w:p>
          <w:p w14:paraId="6C279B7D">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10、样本头的水平行程≥28mm，样本头垂直行程≥70mm。</w:t>
            </w:r>
          </w:p>
          <w:p w14:paraId="04D1FC10">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11、具有≥3级的用户管理系统，管理员可创建普通账户≥100个；避免滥用和误操作。</w:t>
            </w:r>
          </w:p>
          <w:p w14:paraId="24D83C55">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val="0"/>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12、★冷冻点≥21，包含2个半导体快速冷冻点，</w:t>
            </w:r>
            <w:r>
              <w:rPr>
                <w:rFonts w:hint="eastAsia" w:ascii="宋体" w:hAnsi="宋体" w:eastAsia="宋体" w:cs="宋体"/>
                <w:b/>
                <w:bCs w:val="0"/>
                <w:color w:val="auto"/>
                <w:spacing w:val="10"/>
                <w:kern w:val="2"/>
                <w:sz w:val="24"/>
                <w:szCs w:val="24"/>
                <w:highlight w:val="none"/>
                <w:lang w:val="en-US" w:eastAsia="zh-CN" w:bidi="ar"/>
              </w:rPr>
              <w:t>（投标时提供实物图证明），</w:t>
            </w:r>
            <w:r>
              <w:rPr>
                <w:rFonts w:hint="eastAsia" w:ascii="宋体" w:hAnsi="宋体" w:eastAsia="宋体" w:cs="宋体"/>
                <w:bCs/>
                <w:color w:val="auto"/>
                <w:spacing w:val="10"/>
                <w:kern w:val="2"/>
                <w:sz w:val="24"/>
                <w:szCs w:val="24"/>
                <w:highlight w:val="none"/>
                <w:lang w:val="en-US" w:eastAsia="zh-CN" w:bidi="ar"/>
              </w:rPr>
              <w:t>快速冷冻点制冷温度最低≥－60℃</w:t>
            </w:r>
            <w:r>
              <w:rPr>
                <w:rFonts w:hint="eastAsia" w:ascii="宋体" w:hAnsi="宋体" w:eastAsia="宋体" w:cs="宋体"/>
                <w:b/>
                <w:bCs w:val="0"/>
                <w:color w:val="auto"/>
                <w:spacing w:val="10"/>
                <w:kern w:val="2"/>
                <w:sz w:val="24"/>
                <w:szCs w:val="24"/>
                <w:highlight w:val="none"/>
                <w:lang w:val="en-US" w:eastAsia="zh-CN" w:bidi="ar"/>
              </w:rPr>
              <w:t>（投标时提供证明材料）。</w:t>
            </w:r>
          </w:p>
          <w:p w14:paraId="20D02791">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13、样品头采用压缩机+半导体制冷方式，并具备独立制冷功能，温度范围温度可调区间应覆盖-50℃至-10℃（含边界温度）；</w:t>
            </w:r>
          </w:p>
          <w:p w14:paraId="0389DEF8">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14、采用宽窄二合一刀架设计，满足宽窄刀片的使用需求；刀架温度范围可调区间应覆盖-35℃至-10℃（含边界温度）。</w:t>
            </w:r>
          </w:p>
          <w:p w14:paraId="41BA2637">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15、速冻台可单独制冷且温度可调，温度范围可调区间应覆盖-42℃至-10℃（含边界温度）。</w:t>
            </w:r>
          </w:p>
          <w:p w14:paraId="6C060666">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16、机身自带存储功能，保存机器报警提醒记录和日常操作记录（包括修切片、厚度调节、温度调节、日常除霜、消毒、休眠唤醒等操作），方便进行信息追踪回溯和设备维护</w:t>
            </w:r>
            <w:r>
              <w:rPr>
                <w:rFonts w:hint="eastAsia" w:ascii="宋体" w:hAnsi="宋体" w:eastAsia="宋体" w:cs="宋体"/>
                <w:b/>
                <w:bCs w:val="0"/>
                <w:color w:val="auto"/>
                <w:spacing w:val="10"/>
                <w:kern w:val="2"/>
                <w:sz w:val="24"/>
                <w:szCs w:val="24"/>
                <w:highlight w:val="none"/>
                <w:lang w:val="en-US" w:eastAsia="zh-CN" w:bidi="ar"/>
              </w:rPr>
              <w:t>（投标时提供软件界面证明材料）。</w:t>
            </w:r>
          </w:p>
          <w:p w14:paraId="04664987">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17、触控屏主界面显示废液瓶标识，具备容量显示及瓶满提醒，积液瓶在位检测及提示</w:t>
            </w:r>
            <w:r>
              <w:rPr>
                <w:rFonts w:hint="eastAsia" w:ascii="宋体" w:hAnsi="宋体" w:eastAsia="宋体" w:cs="宋体"/>
                <w:b/>
                <w:bCs w:val="0"/>
                <w:color w:val="auto"/>
                <w:spacing w:val="10"/>
                <w:kern w:val="2"/>
                <w:sz w:val="24"/>
                <w:szCs w:val="24"/>
                <w:highlight w:val="none"/>
                <w:lang w:val="en-US" w:eastAsia="zh-CN" w:bidi="ar"/>
              </w:rPr>
              <w:t>（投标时提供软件界面证明材料）。</w:t>
            </w:r>
          </w:p>
          <w:p w14:paraId="71D3BFA1">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18、进样提醒功能，进样行程还剩最后1mm时，启动声音和屏幕弹窗信号警告，并禁止向前快进，提升操作安全性。</w:t>
            </w:r>
          </w:p>
          <w:p w14:paraId="23B31080">
            <w:pPr>
              <w:pStyle w:val="2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pacing w:val="10"/>
                <w:kern w:val="2"/>
                <w:sz w:val="24"/>
                <w:szCs w:val="24"/>
                <w:highlight w:val="none"/>
                <w:lang w:val="en-US" w:eastAsia="zh-CN" w:bidi="ar"/>
              </w:rPr>
              <w:t>19、配置低温高效无臭氧紫外消毒系统（非化学熏蒸消毒方式），紫外消毒可在任何时间和任何温度下进行。</w:t>
            </w:r>
          </w:p>
        </w:tc>
        <w:tc>
          <w:tcPr>
            <w:tcW w:w="340" w:type="pct"/>
            <w:vAlign w:val="center"/>
          </w:tcPr>
          <w:p w14:paraId="532EF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91" w:type="pct"/>
            <w:vAlign w:val="center"/>
          </w:tcPr>
          <w:p w14:paraId="21308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套</w:t>
            </w:r>
          </w:p>
        </w:tc>
      </w:tr>
    </w:tbl>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583EDEC6">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8" w:name="_Toc14698"/>
      <w:bookmarkStart w:id="49"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0" w:name="_Toc22859"/>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3" w:name="_Toc27343"/>
      <w:bookmarkStart w:id="54" w:name="_Toc2853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426"/>
        <w:gridCol w:w="2078"/>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9" w:type="pct"/>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3"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9" w:type="pct"/>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3"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9" w:type="pct"/>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3"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9" w:type="pct"/>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3"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34AF0481">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9" w:type="pct"/>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975"/>
        <w:gridCol w:w="6733"/>
        <w:gridCol w:w="134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7"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4"/>
                <w:highlight w:val="none"/>
              </w:rPr>
              <w:t>产品业绩</w:t>
            </w:r>
          </w:p>
        </w:tc>
        <w:tc>
          <w:tcPr>
            <w:tcW w:w="3301" w:type="pct"/>
            <w:tcBorders>
              <w:top w:val="single" w:color="auto" w:sz="4" w:space="0"/>
              <w:left w:val="single" w:color="auto" w:sz="4" w:space="0"/>
              <w:right w:val="single" w:color="auto" w:sz="4" w:space="0"/>
            </w:tcBorders>
            <w:vAlign w:val="center"/>
          </w:tcPr>
          <w:p w14:paraId="5315602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 202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 xml:space="preserve"> 年1月1日以来(以合同签订时间为准)，提供一份所投机型供货业绩的得2分，最高得4分。</w:t>
            </w:r>
          </w:p>
          <w:p w14:paraId="7545DF7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5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2"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5A70D19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根据投标文件中技术规格及参数要求的响应情况进行评分:</w:t>
            </w:r>
          </w:p>
          <w:p w14:paraId="00F4C79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本项目产品技术参数共19项</w:t>
            </w:r>
          </w:p>
          <w:p w14:paraId="0FB883B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①标注“★”号的为本项目的关键性技术指标，共计3个，必须满足，不满足的按无效标处理；</w:t>
            </w:r>
          </w:p>
          <w:p w14:paraId="727911E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②标注“▲”参数共3项，每有1项满足或优于招标要求的得4分，满分12分；</w:t>
            </w:r>
          </w:p>
          <w:p w14:paraId="5B85D9D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③未标注“★”和“▲”的参数共13项，每有1项满足或优于招标要求的得3分，满分39分；</w:t>
            </w:r>
          </w:p>
          <w:p w14:paraId="78CC9294">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w:t>
            </w: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 1 \* GB3 \* MERGEFORMAT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lang w:val="en-US" w:eastAsia="zh-CN" w:bidi="zh-CN"/>
              </w:rPr>
              <w:t>①</w:t>
            </w:r>
            <w:r>
              <w:rPr>
                <w:rFonts w:hint="eastAsia" w:ascii="宋体" w:hAnsi="宋体" w:eastAsia="宋体" w:cs="宋体"/>
                <w:b/>
                <w:bCs/>
                <w:color w:val="auto"/>
                <w:sz w:val="24"/>
                <w:szCs w:val="24"/>
                <w:highlight w:val="none"/>
                <w:lang w:val="en-US" w:eastAsia="zh-CN" w:bidi="zh-CN"/>
              </w:rPr>
              <w:fldChar w:fldCharType="end"/>
            </w:r>
            <w:bookmarkStart w:id="56" w:name="OLE_LINK3"/>
            <w:r>
              <w:rPr>
                <w:rFonts w:hint="eastAsia" w:ascii="宋体" w:hAnsi="宋体" w:eastAsia="宋体" w:cs="宋体"/>
                <w:b/>
                <w:bCs/>
                <w:color w:val="auto"/>
                <w:sz w:val="24"/>
                <w:szCs w:val="24"/>
                <w:highlight w:val="none"/>
                <w:lang w:val="en-US" w:eastAsia="zh-CN" w:bidi="zh-CN"/>
              </w:rPr>
              <w:t>所有参数中如有标注证明材料的，需按要求提供对应证明材料；</w:t>
            </w:r>
          </w:p>
          <w:p w14:paraId="1C0E05B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w:t>
            </w:r>
            <w:r>
              <w:rPr>
                <w:rFonts w:hint="eastAsia" w:ascii="宋体" w:hAnsi="宋体" w:eastAsia="宋体" w:cs="宋体"/>
                <w:b/>
                <w:bCs/>
                <w:color w:val="auto"/>
                <w:sz w:val="24"/>
                <w:szCs w:val="24"/>
                <w:highlight w:val="none"/>
                <w:lang w:val="en-US" w:eastAsia="zh-CN" w:bidi="zh-CN"/>
              </w:rPr>
              <w:t>标注“★”和“▲”的参数均需提供有效证明材料，包括但不限于与之相关的证明文件或产品技术说明文件或印刷资料或技术白皮书或产品检验（测）报告或注册证明文件等；</w:t>
            </w:r>
          </w:p>
          <w:p w14:paraId="495F5F9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③</w:t>
            </w:r>
            <w:r>
              <w:rPr>
                <w:rFonts w:hint="eastAsia" w:ascii="宋体" w:hAnsi="宋体" w:eastAsia="宋体" w:cs="宋体"/>
                <w:b/>
                <w:bCs/>
                <w:color w:val="auto"/>
                <w:sz w:val="24"/>
                <w:szCs w:val="24"/>
                <w:highlight w:val="none"/>
                <w:lang w:val="en-US" w:eastAsia="zh-CN" w:bidi="zh-CN"/>
              </w:rPr>
              <w:t>未标注“★”和“▲”符号且未标注证明材料的参数无需提供证明材料，但需明确是否响应，未明确是否响应视为不响应，投标人需审慎填写，验收时将复核参数。</w:t>
            </w:r>
            <w:bookmarkEnd w:id="56"/>
          </w:p>
          <w:p w14:paraId="5E4B091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④投标人提供的评审（评分）证明材料必须为中文文本，若存在非中文时，须同时提供中文翻译文本，否则视为不响应；</w:t>
            </w:r>
          </w:p>
          <w:p w14:paraId="584D95B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⑤投标人制作投标文件可自行编制页码，对评审相关指标使用带颜色进行标注，在“技术响应表”中应注明“证明材料”所在投标文件中的页数，方便评标委员会评审核对；</w:t>
            </w:r>
          </w:p>
          <w:p w14:paraId="33C2DE95">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⑥如出现相同的技术指标说明或表述不一致时，此技术指标均视为无效技术证明材料。</w:t>
            </w:r>
          </w:p>
          <w:p w14:paraId="11F35C3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bidi="zh-CN"/>
              </w:rPr>
              <w:t>⑦如某项标识中包含多条技术参数或要求，则该项标识所含内容均需满足或优于招标文件要求，否则不予认可。</w:t>
            </w:r>
          </w:p>
        </w:tc>
        <w:tc>
          <w:tcPr>
            <w:tcW w:w="65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51分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shd w:val="clear" w:color="auto" w:fill="auto"/>
            <w:vAlign w:val="center"/>
          </w:tcPr>
          <w:p w14:paraId="72215C64">
            <w:pP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6733" w:type="dxa"/>
            <w:tcBorders>
              <w:top w:val="single" w:color="auto" w:sz="4" w:space="0"/>
              <w:left w:val="single" w:color="auto" w:sz="4" w:space="0"/>
              <w:right w:val="single" w:color="auto" w:sz="4" w:space="0"/>
            </w:tcBorders>
            <w:shd w:val="clear" w:color="auto" w:fill="auto"/>
            <w:vAlign w:val="center"/>
          </w:tcPr>
          <w:p w14:paraId="1A4C289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投标人须提供免费质保承诺，免费质保期至少为叁年，满足要求的不得分。在叁年的基础上，承诺每延长1年加3分（不足1年不加分），本项最高得9分。</w:t>
            </w:r>
          </w:p>
          <w:p w14:paraId="56727B5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注：提供加盖投标人公章的承诺书（格式自拟），未提供或不符合要求的不得分）</w:t>
            </w:r>
          </w:p>
        </w:tc>
        <w:tc>
          <w:tcPr>
            <w:tcW w:w="65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0-9分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2"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vAlign w:val="center"/>
          </w:tcPr>
          <w:p w14:paraId="34FF3C79">
            <w:pP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w:t>
            </w:r>
          </w:p>
        </w:tc>
        <w:tc>
          <w:tcPr>
            <w:tcW w:w="6733" w:type="dxa"/>
            <w:tcBorders>
              <w:top w:val="single" w:color="auto" w:sz="4" w:space="0"/>
              <w:left w:val="single" w:color="auto" w:sz="4" w:space="0"/>
              <w:right w:val="single" w:color="auto" w:sz="4" w:space="0"/>
            </w:tcBorders>
            <w:shd w:val="clear" w:color="auto" w:fill="auto"/>
            <w:vAlign w:val="center"/>
          </w:tcPr>
          <w:p w14:paraId="184FD57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售后响应时间：2小时以内。</w:t>
            </w:r>
          </w:p>
          <w:p w14:paraId="49DB37F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报修后故障修复时间：3个工作日，超过此时间需提供备用机。</w:t>
            </w:r>
          </w:p>
          <w:p w14:paraId="4E5F447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维保期内每年至少巡检2次。</w:t>
            </w:r>
          </w:p>
          <w:p w14:paraId="75FFE894">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售后服务措施须包含或优于以上内容，评审根据投标文件中提供的售后服务方案与措施进行评比：</w:t>
            </w:r>
          </w:p>
          <w:p w14:paraId="1BE241A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1、包括保修内容与范围、维修响应时间、售后服务等，方案完善可行性强，科学合理，完全满足项目采购需求的得6分；</w:t>
            </w:r>
          </w:p>
          <w:p w14:paraId="3366034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2、包括保修内容与范围、维修响应时间、售后服务等，方案完善可行性较强，无明显逻辑错误，无关键点缺失的得4分；</w:t>
            </w:r>
          </w:p>
          <w:p w14:paraId="7ECCC5DE">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3、包括保修内容与范围、维修响应时间、售后服务等，方案内容缺失，且出现非专门针对本项目特性内容的得2分；</w:t>
            </w:r>
          </w:p>
          <w:p w14:paraId="2F568975">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仿宋" w:hAnsi="仿宋" w:eastAsia="仿宋" w:cs="@仿宋_GB2312"/>
                <w:color w:val="auto"/>
                <w:kern w:val="2"/>
                <w:sz w:val="21"/>
                <w:szCs w:val="21"/>
                <w:highlight w:val="none"/>
                <w:lang w:val="en-US" w:eastAsia="zh-CN" w:bidi="ar-SA"/>
              </w:rPr>
            </w:pPr>
            <w:r>
              <w:rPr>
                <w:rFonts w:hint="eastAsia" w:ascii="宋体" w:hAnsi="宋体" w:eastAsia="宋体" w:cs="宋体"/>
                <w:color w:val="auto"/>
                <w:sz w:val="24"/>
                <w:szCs w:val="24"/>
                <w:highlight w:val="none"/>
                <w:lang w:val="en-US" w:eastAsia="zh-CN" w:bidi="zh-CN"/>
              </w:rPr>
              <w:t>4、方案不能满足项目实施要求或未提供相关内容的不得分</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AFDF979">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2"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7" w:type="pct"/>
            <w:gridSpan w:val="3"/>
            <w:tcBorders>
              <w:top w:val="single" w:color="auto" w:sz="4" w:space="0"/>
              <w:left w:val="single" w:color="auto" w:sz="4" w:space="0"/>
              <w:bottom w:val="single" w:color="auto" w:sz="4" w:space="0"/>
              <w:right w:val="single" w:color="auto" w:sz="4" w:space="0"/>
            </w:tcBorders>
            <w:vAlign w:val="center"/>
          </w:tcPr>
          <w:p w14:paraId="0DB9D3C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w:t>
            </w:r>
            <w:r>
              <w:rPr>
                <w:rFonts w:hint="eastAsia" w:ascii="宋体" w:hAnsi="宋体" w:eastAsia="宋体" w:cs="宋体"/>
                <w:color w:val="auto"/>
                <w:sz w:val="24"/>
                <w:szCs w:val="24"/>
                <w:highlight w:val="none"/>
                <w:lang w:val="en-US" w:bidi="zh-CN"/>
              </w:rPr>
              <w:t>且</w:t>
            </w:r>
            <w:r>
              <w:rPr>
                <w:rFonts w:hint="eastAsia" w:ascii="宋体" w:hAnsi="宋体" w:eastAsia="宋体" w:cs="宋体"/>
                <w:b/>
                <w:bCs/>
                <w:color w:val="auto"/>
                <w:sz w:val="24"/>
                <w:szCs w:val="24"/>
                <w:highlight w:val="none"/>
                <w:lang w:val="en-US" w:bidi="zh-CN"/>
              </w:rPr>
              <w:t>（各供应商</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bidi="zh-CN"/>
              </w:rPr>
              <w:t>÷</w:t>
            </w:r>
            <w:r>
              <w:rPr>
                <w:rFonts w:hint="eastAsia" w:ascii="宋体" w:hAnsi="宋体" w:eastAsia="宋体" w:cs="宋体"/>
                <w:b/>
                <w:bCs/>
                <w:color w:val="auto"/>
                <w:sz w:val="24"/>
                <w:szCs w:val="24"/>
                <w:highlight w:val="none"/>
                <w:lang w:bidi="zh-CN"/>
              </w:rPr>
              <w:t>自身所投产品设计使用年限</w:t>
            </w:r>
            <w:r>
              <w:rPr>
                <w:rFonts w:hint="eastAsia" w:ascii="宋体" w:hAnsi="宋体" w:eastAsia="宋体" w:cs="宋体"/>
                <w:b/>
                <w:bCs/>
                <w:color w:val="auto"/>
                <w:sz w:val="24"/>
                <w:szCs w:val="24"/>
                <w:highlight w:val="none"/>
                <w:lang w:val="en-US" w:bidi="zh-CN"/>
              </w:rPr>
              <w:t>）计算出的</w:t>
            </w:r>
            <w:r>
              <w:rPr>
                <w:rFonts w:hint="eastAsia" w:ascii="宋体" w:hAnsi="宋体" w:eastAsia="宋体" w:cs="宋体"/>
                <w:b/>
                <w:bCs/>
                <w:color w:val="auto"/>
                <w:sz w:val="24"/>
                <w:szCs w:val="24"/>
                <w:highlight w:val="none"/>
                <w:lang w:bidi="zh-CN"/>
              </w:rPr>
              <w:t>最低</w:t>
            </w:r>
            <w:r>
              <w:rPr>
                <w:rFonts w:hint="eastAsia" w:ascii="宋体" w:hAnsi="宋体" w:eastAsia="宋体" w:cs="宋体"/>
                <w:b/>
                <w:bCs/>
                <w:color w:val="auto"/>
                <w:sz w:val="24"/>
                <w:szCs w:val="24"/>
                <w:highlight w:val="none"/>
                <w:lang w:val="en-US" w:bidi="zh-CN"/>
              </w:rPr>
              <w:t>值作</w:t>
            </w:r>
            <w:r>
              <w:rPr>
                <w:rFonts w:hint="eastAsia" w:ascii="宋体" w:hAnsi="宋体" w:eastAsia="宋体" w:cs="宋体"/>
                <w:b/>
                <w:bCs/>
                <w:color w:val="auto"/>
                <w:sz w:val="24"/>
                <w:szCs w:val="24"/>
                <w:highlight w:val="none"/>
                <w:lang w:bidi="zh-CN"/>
              </w:rPr>
              <w:t>为评标基准价</w:t>
            </w:r>
            <w:r>
              <w:rPr>
                <w:rFonts w:hint="eastAsia" w:ascii="宋体" w:hAnsi="宋体" w:eastAsia="宋体" w:cs="宋体"/>
                <w:color w:val="auto"/>
                <w:sz w:val="24"/>
                <w:szCs w:val="24"/>
                <w:highlight w:val="none"/>
                <w:lang w:bidi="zh-CN"/>
              </w:rPr>
              <w:t>，其价格分为满分</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分。其他投标人的价格分统一按照下列公式计算：</w:t>
            </w:r>
          </w:p>
          <w:p w14:paraId="0C47167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投标报价得分＝【评标基准价/（投标报价/自身所投产品设计使用年限）】×</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×100％</w:t>
            </w:r>
          </w:p>
          <w:p w14:paraId="18DC242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r>
              <w:rPr>
                <w:rFonts w:hint="eastAsia" w:ascii="宋体" w:hAnsi="宋体" w:eastAsia="宋体" w:cs="宋体"/>
                <w:color w:val="auto"/>
                <w:sz w:val="24"/>
                <w:szCs w:val="24"/>
                <w:highlight w:val="none"/>
                <w:lang w:bidi="zh-CN"/>
              </w:rPr>
              <w:t>）</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40B23020">
      <w:pPr>
        <w:spacing w:line="360" w:lineRule="auto"/>
        <w:ind w:firstLine="435"/>
        <w:outlineLvl w:val="9"/>
        <w:rPr>
          <w:rFonts w:hint="eastAsia" w:asciiTheme="minorEastAsia" w:hAnsiTheme="minorEastAsia" w:eastAsiaTheme="minorEastAsia"/>
          <w:color w:val="auto"/>
          <w:sz w:val="24"/>
          <w:highlight w:val="none"/>
        </w:rPr>
      </w:pPr>
    </w:p>
    <w:p w14:paraId="54183020">
      <w:pPr>
        <w:spacing w:line="360" w:lineRule="auto"/>
        <w:ind w:firstLine="435"/>
        <w:outlineLvl w:val="9"/>
        <w:rPr>
          <w:rFonts w:hint="eastAsia" w:asciiTheme="minorEastAsia" w:hAnsiTheme="minorEastAsia" w:eastAsiaTheme="minorEastAsia"/>
          <w:color w:val="auto"/>
          <w:sz w:val="24"/>
          <w:highlight w:val="none"/>
        </w:rPr>
      </w:pPr>
    </w:p>
    <w:p w14:paraId="01D10D7D">
      <w:pPr>
        <w:pStyle w:val="42"/>
        <w:rPr>
          <w:rFonts w:hint="eastAsia" w:asciiTheme="minorEastAsia" w:hAnsiTheme="minorEastAsia" w:eastAsiaTheme="minorEastAsia"/>
          <w:color w:val="auto"/>
          <w:sz w:val="24"/>
          <w:highlight w:val="none"/>
        </w:rPr>
      </w:pPr>
    </w:p>
    <w:p w14:paraId="3E7F5D07">
      <w:pPr>
        <w:pStyle w:val="42"/>
        <w:rPr>
          <w:rFonts w:hint="eastAsia" w:asciiTheme="minorEastAsia" w:hAnsiTheme="minorEastAsia" w:eastAsiaTheme="minorEastAsia"/>
          <w:color w:val="auto"/>
          <w:sz w:val="24"/>
          <w:highlight w:val="none"/>
        </w:rPr>
      </w:pPr>
    </w:p>
    <w:p w14:paraId="48C70865">
      <w:pPr>
        <w:pStyle w:val="42"/>
        <w:rPr>
          <w:rFonts w:hint="eastAsia" w:asciiTheme="minorEastAsia" w:hAnsiTheme="minorEastAsia" w:eastAsiaTheme="minorEastAsia"/>
          <w:color w:val="auto"/>
          <w:sz w:val="24"/>
          <w:highlight w:val="none"/>
        </w:rPr>
      </w:pPr>
    </w:p>
    <w:p w14:paraId="3F78CE43">
      <w:pPr>
        <w:pStyle w:val="42"/>
        <w:rPr>
          <w:rFonts w:hint="eastAsia" w:asciiTheme="minorEastAsia" w:hAnsiTheme="minorEastAsia" w:eastAsiaTheme="minorEastAsia"/>
          <w:color w:val="auto"/>
          <w:sz w:val="24"/>
          <w:highlight w:val="none"/>
        </w:rPr>
      </w:pPr>
    </w:p>
    <w:p w14:paraId="2558C64D">
      <w:pPr>
        <w:pStyle w:val="42"/>
        <w:rPr>
          <w:rFonts w:hint="eastAsia" w:asciiTheme="minorEastAsia" w:hAnsiTheme="minorEastAsia" w:eastAsiaTheme="minorEastAsia"/>
          <w:color w:val="auto"/>
          <w:sz w:val="24"/>
          <w:highlight w:val="none"/>
        </w:rPr>
      </w:pPr>
    </w:p>
    <w:p w14:paraId="38EA34DB">
      <w:pPr>
        <w:pStyle w:val="42"/>
        <w:rPr>
          <w:rFonts w:hint="eastAsia" w:asciiTheme="minorEastAsia" w:hAnsiTheme="minorEastAsia" w:eastAsiaTheme="minorEastAsia"/>
          <w:color w:val="auto"/>
          <w:sz w:val="24"/>
          <w:highlight w:val="none"/>
        </w:rPr>
      </w:pPr>
    </w:p>
    <w:p w14:paraId="6EB4AE80">
      <w:pPr>
        <w:pStyle w:val="42"/>
        <w:rPr>
          <w:rFonts w:hint="eastAsia" w:asciiTheme="minorEastAsia" w:hAnsiTheme="minorEastAsia" w:eastAsiaTheme="minorEastAsia"/>
          <w:color w:val="auto"/>
          <w:sz w:val="24"/>
          <w:highlight w:val="none"/>
        </w:rPr>
      </w:pPr>
    </w:p>
    <w:p w14:paraId="089E6AEB">
      <w:pPr>
        <w:pStyle w:val="42"/>
        <w:rPr>
          <w:rFonts w:hint="eastAsia" w:asciiTheme="minorEastAsia" w:hAnsiTheme="minorEastAsia" w:eastAsiaTheme="minorEastAsia"/>
          <w:color w:val="auto"/>
          <w:sz w:val="24"/>
          <w:highlight w:val="none"/>
        </w:rPr>
      </w:pPr>
    </w:p>
    <w:p w14:paraId="450C67BF">
      <w:pPr>
        <w:pStyle w:val="42"/>
        <w:rPr>
          <w:rFonts w:hint="eastAsia" w:asciiTheme="minorEastAsia" w:hAnsiTheme="minorEastAsia" w:eastAsiaTheme="minorEastAsia"/>
          <w:color w:val="auto"/>
          <w:sz w:val="24"/>
          <w:highlight w:val="none"/>
        </w:rPr>
      </w:pPr>
    </w:p>
    <w:p w14:paraId="34CB90EA">
      <w:pPr>
        <w:pStyle w:val="42"/>
        <w:rPr>
          <w:rFonts w:hint="eastAsia" w:asciiTheme="minorEastAsia" w:hAnsiTheme="minorEastAsia" w:eastAsiaTheme="minorEastAsia"/>
          <w:color w:val="auto"/>
          <w:sz w:val="24"/>
          <w:highlight w:val="none"/>
        </w:rPr>
      </w:pPr>
    </w:p>
    <w:p w14:paraId="30926DD3">
      <w:pPr>
        <w:pStyle w:val="42"/>
        <w:rPr>
          <w:rFonts w:hint="eastAsia" w:asciiTheme="minorEastAsia" w:hAnsiTheme="minorEastAsia" w:eastAsiaTheme="minorEastAsia"/>
          <w:color w:val="auto"/>
          <w:sz w:val="24"/>
          <w:highlight w:val="none"/>
        </w:rPr>
      </w:pPr>
    </w:p>
    <w:p w14:paraId="56C70E9F">
      <w:pPr>
        <w:pStyle w:val="42"/>
        <w:rPr>
          <w:rFonts w:hint="eastAsia" w:asciiTheme="minorEastAsia" w:hAnsiTheme="minorEastAsia" w:eastAsiaTheme="minorEastAsia"/>
          <w:color w:val="auto"/>
          <w:sz w:val="24"/>
          <w:highlight w:val="none"/>
        </w:rPr>
      </w:pPr>
    </w:p>
    <w:p w14:paraId="1DAC00CB">
      <w:pPr>
        <w:pStyle w:val="42"/>
        <w:rPr>
          <w:rFonts w:hint="eastAsia" w:asciiTheme="minorEastAsia" w:hAnsiTheme="minorEastAsia" w:eastAsiaTheme="minorEastAsia"/>
          <w:color w:val="auto"/>
          <w:sz w:val="24"/>
          <w:highlight w:val="none"/>
        </w:rPr>
      </w:pPr>
    </w:p>
    <w:p w14:paraId="7F728D8E">
      <w:pPr>
        <w:pStyle w:val="42"/>
        <w:rPr>
          <w:rFonts w:hint="eastAsia" w:asciiTheme="minorEastAsia" w:hAnsiTheme="minorEastAsia" w:eastAsiaTheme="minorEastAsia"/>
          <w:color w:val="auto"/>
          <w:sz w:val="24"/>
          <w:highlight w:val="none"/>
        </w:rPr>
      </w:pPr>
    </w:p>
    <w:p w14:paraId="4F84B318">
      <w:pPr>
        <w:pStyle w:val="42"/>
        <w:rPr>
          <w:rFonts w:hint="eastAsia" w:asciiTheme="minorEastAsia" w:hAnsiTheme="minorEastAsia" w:eastAsiaTheme="minorEastAsia"/>
          <w:color w:val="auto"/>
          <w:sz w:val="24"/>
          <w:highlight w:val="none"/>
        </w:rPr>
      </w:pPr>
    </w:p>
    <w:p w14:paraId="6BA5DED6">
      <w:pPr>
        <w:pStyle w:val="42"/>
        <w:rPr>
          <w:rFonts w:hint="eastAsia" w:asciiTheme="minorEastAsia" w:hAnsiTheme="minorEastAsia" w:eastAsiaTheme="minorEastAsia"/>
          <w:color w:val="auto"/>
          <w:sz w:val="24"/>
          <w:highlight w:val="none"/>
        </w:rPr>
      </w:pPr>
    </w:p>
    <w:p w14:paraId="18C328E3">
      <w:pPr>
        <w:pStyle w:val="42"/>
        <w:rPr>
          <w:rFonts w:hint="eastAsia" w:asciiTheme="minorEastAsia" w:hAnsiTheme="minorEastAsia" w:eastAsiaTheme="minorEastAsia"/>
          <w:color w:val="auto"/>
          <w:sz w:val="24"/>
          <w:highlight w:val="none"/>
        </w:rPr>
      </w:pPr>
    </w:p>
    <w:p w14:paraId="5CCDEE4B">
      <w:pPr>
        <w:pStyle w:val="42"/>
        <w:rPr>
          <w:rFonts w:hint="eastAsia" w:asciiTheme="minorEastAsia" w:hAnsiTheme="minorEastAsia" w:eastAsiaTheme="minorEastAsia"/>
          <w:color w:val="auto"/>
          <w:sz w:val="24"/>
          <w:highlight w:val="none"/>
        </w:rPr>
      </w:pPr>
    </w:p>
    <w:p w14:paraId="1F76735B">
      <w:pPr>
        <w:pStyle w:val="42"/>
        <w:rPr>
          <w:rFonts w:hint="eastAsia" w:asciiTheme="minorEastAsia" w:hAnsiTheme="minorEastAsia" w:eastAsiaTheme="minorEastAsia"/>
          <w:color w:val="auto"/>
          <w:sz w:val="24"/>
          <w:highlight w:val="none"/>
        </w:rPr>
      </w:pPr>
    </w:p>
    <w:p w14:paraId="7CCA207C">
      <w:pPr>
        <w:pStyle w:val="42"/>
        <w:rPr>
          <w:rFonts w:hint="eastAsia" w:asciiTheme="minorEastAsia" w:hAnsiTheme="minorEastAsia" w:eastAsiaTheme="minorEastAsia"/>
          <w:color w:val="auto"/>
          <w:sz w:val="24"/>
          <w:highlight w:val="none"/>
        </w:rPr>
      </w:pPr>
    </w:p>
    <w:p w14:paraId="20AC76B7">
      <w:pPr>
        <w:pStyle w:val="42"/>
        <w:rPr>
          <w:rFonts w:hint="eastAsia" w:asciiTheme="minorEastAsia" w:hAnsiTheme="minorEastAsia" w:eastAsiaTheme="minorEastAsia"/>
          <w:color w:val="auto"/>
          <w:sz w:val="24"/>
          <w:highlight w:val="none"/>
        </w:rPr>
      </w:pPr>
    </w:p>
    <w:p w14:paraId="17CA7F82">
      <w:pPr>
        <w:pStyle w:val="42"/>
        <w:rPr>
          <w:rFonts w:hint="eastAsia" w:asciiTheme="minorEastAsia" w:hAnsiTheme="minorEastAsia" w:eastAsiaTheme="minorEastAsia"/>
          <w:color w:val="auto"/>
          <w:sz w:val="24"/>
          <w:highlight w:val="none"/>
        </w:rPr>
      </w:pPr>
    </w:p>
    <w:p w14:paraId="31935584">
      <w:pPr>
        <w:pStyle w:val="42"/>
        <w:rPr>
          <w:rFonts w:hint="eastAsia" w:asciiTheme="minorEastAsia" w:hAnsiTheme="minorEastAsia" w:eastAsiaTheme="minorEastAsia"/>
          <w:color w:val="auto"/>
          <w:sz w:val="24"/>
          <w:highlight w:val="none"/>
        </w:rPr>
      </w:pPr>
    </w:p>
    <w:p w14:paraId="16379C09">
      <w:pPr>
        <w:spacing w:line="360" w:lineRule="auto"/>
        <w:ind w:firstLine="435"/>
        <w:outlineLvl w:val="9"/>
        <w:rPr>
          <w:rFonts w:hint="eastAsia" w:asciiTheme="minorEastAsia" w:hAnsiTheme="minorEastAsia" w:eastAsiaTheme="minorEastAsia"/>
          <w:color w:val="auto"/>
          <w:sz w:val="24"/>
          <w:highlight w:val="none"/>
        </w:rPr>
      </w:pPr>
    </w:p>
    <w:p w14:paraId="541218B1">
      <w:pPr>
        <w:spacing w:line="360" w:lineRule="auto"/>
        <w:ind w:firstLine="435"/>
        <w:outlineLvl w:val="9"/>
        <w:rPr>
          <w:rFonts w:hint="eastAsia" w:asciiTheme="minorEastAsia" w:hAnsiTheme="minorEastAsia" w:eastAsiaTheme="minorEastAsia"/>
          <w:color w:val="auto"/>
          <w:sz w:val="24"/>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7"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7"/>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9"/>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9"/>
        <w:outlineLvl w:val="9"/>
        <w:rPr>
          <w:rFonts w:hint="eastAsia" w:ascii="宋体" w:hAnsi="宋体" w:eastAsia="宋体" w:cs="宋体"/>
          <w:b/>
          <w:bCs/>
          <w:color w:val="auto"/>
          <w:spacing w:val="-20"/>
          <w:kern w:val="44"/>
          <w:sz w:val="24"/>
          <w:highlight w:val="none"/>
        </w:rPr>
      </w:pPr>
    </w:p>
    <w:p w14:paraId="3333A1FA">
      <w:pPr>
        <w:pStyle w:val="9"/>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9"/>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滁州市第一人民医院冷冻切片机采购项目（二次）</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CZYY-2026-48</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15D458BF">
      <w:pPr>
        <w:spacing w:line="360" w:lineRule="auto"/>
        <w:jc w:val="center"/>
        <w:outlineLvl w:val="9"/>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滁州市第一人民医院冷冻切片机采购项目（二次）</w:t>
      </w:r>
      <w:r>
        <w:rPr>
          <w:rFonts w:hint="eastAsia" w:ascii="宋体" w:hAnsi="宋体" w:eastAsia="宋体" w:cs="宋体"/>
          <w:color w:val="auto"/>
          <w:sz w:val="24"/>
          <w:szCs w:val="24"/>
          <w:highlight w:val="none"/>
          <w:u w:val="single"/>
        </w:rPr>
        <w:t xml:space="preserve"> </w:t>
      </w:r>
    </w:p>
    <w:p w14:paraId="212B3DE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CZYY-2026-48</w:t>
      </w:r>
      <w:r>
        <w:rPr>
          <w:rFonts w:hint="eastAsia" w:ascii="宋体" w:hAnsi="宋体" w:eastAsia="宋体" w:cs="宋体"/>
          <w:color w:val="auto"/>
          <w:sz w:val="24"/>
          <w:szCs w:val="24"/>
          <w:highlight w:val="none"/>
          <w:u w:val="single"/>
          <w:lang w:val="en-US" w:eastAsia="zh-CN"/>
        </w:rPr>
        <w:t xml:space="preserve"> </w:t>
      </w:r>
    </w:p>
    <w:p w14:paraId="12F31C8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4"/>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462CF551">
      <w:pPr>
        <w:spacing w:line="360" w:lineRule="auto"/>
        <w:jc w:val="center"/>
        <w:outlineLvl w:val="0"/>
        <w:rPr>
          <w:rFonts w:hint="eastAsia" w:asciiTheme="minorEastAsia" w:hAnsiTheme="minorEastAsia" w:eastAsiaTheme="minorEastAsia"/>
          <w:b/>
          <w:color w:val="auto"/>
          <w:sz w:val="28"/>
          <w:highlight w:val="none"/>
        </w:rPr>
      </w:pPr>
    </w:p>
    <w:p w14:paraId="2D5B6AFA">
      <w:pPr>
        <w:spacing w:line="360" w:lineRule="auto"/>
        <w:jc w:val="center"/>
        <w:outlineLvl w:val="0"/>
        <w:rPr>
          <w:rFonts w:hint="eastAsia" w:asciiTheme="minorEastAsia" w:hAnsiTheme="minorEastAsia" w:eastAsiaTheme="minorEastAsia"/>
          <w:b/>
          <w:color w:val="auto"/>
          <w:sz w:val="28"/>
          <w:highlight w:val="none"/>
        </w:rPr>
      </w:pPr>
    </w:p>
    <w:p w14:paraId="2ACEEA3F">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1" w:name="_Toc14549"/>
      <w:r>
        <w:rPr>
          <w:rFonts w:hint="eastAsia" w:asciiTheme="minorEastAsia" w:hAnsiTheme="minorEastAsia" w:eastAsiaTheme="minorEastAsia"/>
          <w:b/>
          <w:color w:val="auto"/>
          <w:sz w:val="28"/>
          <w:highlight w:val="none"/>
        </w:rPr>
        <w:t>第六章  投标文件格式</w:t>
      </w:r>
      <w:bookmarkEnd w:id="61"/>
    </w:p>
    <w:p w14:paraId="6888C9ED">
      <w:pPr>
        <w:jc w:val="right"/>
        <w:outlineLvl w:val="9"/>
        <w:rPr>
          <w:rFonts w:hint="default" w:eastAsia="黑体"/>
          <w:color w:val="auto"/>
          <w:sz w:val="20"/>
          <w:highlight w:val="none"/>
          <w:lang w:val="en-US" w:eastAsia="zh-CN"/>
        </w:rPr>
      </w:pPr>
      <w:bookmarkStart w:id="62" w:name="_Toc28960"/>
      <w:bookmarkStart w:id="63" w:name="_Toc5555"/>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42"/>
        <w:outlineLvl w:val="9"/>
        <w:rPr>
          <w:rFonts w:hint="eastAsia" w:asciiTheme="minorEastAsia" w:hAnsiTheme="minorEastAsia" w:eastAsiaTheme="minorEastAsia"/>
          <w:b/>
          <w:color w:val="auto"/>
          <w:sz w:val="24"/>
          <w:highlight w:val="none"/>
        </w:rPr>
      </w:pPr>
    </w:p>
    <w:p w14:paraId="2A1C624A">
      <w:pPr>
        <w:pStyle w:val="42"/>
        <w:outlineLvl w:val="9"/>
        <w:rPr>
          <w:rFonts w:hint="eastAsia" w:asciiTheme="minorEastAsia" w:hAnsiTheme="minorEastAsia" w:eastAsiaTheme="minorEastAsia"/>
          <w:b/>
          <w:color w:val="auto"/>
          <w:sz w:val="24"/>
          <w:highlight w:val="none"/>
        </w:rPr>
      </w:pPr>
    </w:p>
    <w:p w14:paraId="3FDCC0F8">
      <w:pPr>
        <w:pStyle w:val="42"/>
        <w:outlineLvl w:val="9"/>
        <w:rPr>
          <w:rFonts w:hint="eastAsia" w:asciiTheme="minorEastAsia" w:hAnsiTheme="minorEastAsia" w:eastAsiaTheme="minorEastAsia"/>
          <w:b/>
          <w:color w:val="auto"/>
          <w:sz w:val="24"/>
          <w:highlight w:val="none"/>
        </w:rPr>
      </w:pPr>
    </w:p>
    <w:p w14:paraId="14A074FC">
      <w:pPr>
        <w:pStyle w:val="42"/>
        <w:outlineLvl w:val="9"/>
        <w:rPr>
          <w:rFonts w:hint="eastAsia" w:asciiTheme="minorEastAsia" w:hAnsiTheme="minorEastAsia" w:eastAsiaTheme="minorEastAsia"/>
          <w:b/>
          <w:color w:val="auto"/>
          <w:sz w:val="24"/>
          <w:highlight w:val="none"/>
        </w:rPr>
      </w:pPr>
    </w:p>
    <w:p w14:paraId="29C580D6">
      <w:pPr>
        <w:pStyle w:val="42"/>
        <w:outlineLvl w:val="9"/>
        <w:rPr>
          <w:rFonts w:hint="eastAsia" w:asciiTheme="minorEastAsia" w:hAnsiTheme="minorEastAsia" w:eastAsiaTheme="minorEastAsia"/>
          <w:b/>
          <w:color w:val="auto"/>
          <w:sz w:val="24"/>
          <w:highlight w:val="none"/>
        </w:rPr>
      </w:pPr>
    </w:p>
    <w:p w14:paraId="644D6AAF">
      <w:pPr>
        <w:pStyle w:val="42"/>
        <w:outlineLvl w:val="9"/>
        <w:rPr>
          <w:rFonts w:hint="eastAsia" w:asciiTheme="minorEastAsia" w:hAnsiTheme="minorEastAsia" w:eastAsiaTheme="minorEastAsia"/>
          <w:b/>
          <w:color w:val="auto"/>
          <w:sz w:val="24"/>
          <w:highlight w:val="none"/>
        </w:rPr>
      </w:pPr>
    </w:p>
    <w:p w14:paraId="6AAC4271">
      <w:pPr>
        <w:pStyle w:val="42"/>
        <w:outlineLvl w:val="9"/>
        <w:rPr>
          <w:rFonts w:hint="eastAsia" w:asciiTheme="minorEastAsia" w:hAnsiTheme="minorEastAsia" w:eastAsiaTheme="minorEastAsia"/>
          <w:b/>
          <w:color w:val="auto"/>
          <w:sz w:val="24"/>
          <w:highlight w:val="none"/>
        </w:rPr>
      </w:pPr>
    </w:p>
    <w:p w14:paraId="28CBBDB6">
      <w:pPr>
        <w:pStyle w:val="42"/>
        <w:outlineLvl w:val="9"/>
        <w:rPr>
          <w:rFonts w:hint="eastAsia" w:asciiTheme="minorEastAsia" w:hAnsiTheme="minorEastAsia" w:eastAsiaTheme="minorEastAsia"/>
          <w:b/>
          <w:color w:val="auto"/>
          <w:sz w:val="24"/>
          <w:highlight w:val="none"/>
        </w:rPr>
      </w:pPr>
    </w:p>
    <w:p w14:paraId="58FB038B">
      <w:pPr>
        <w:pStyle w:val="42"/>
        <w:outlineLvl w:val="9"/>
        <w:rPr>
          <w:rFonts w:hint="eastAsia" w:asciiTheme="minorEastAsia" w:hAnsiTheme="minorEastAsia" w:eastAsiaTheme="minorEastAsia"/>
          <w:b/>
          <w:color w:val="auto"/>
          <w:sz w:val="24"/>
          <w:highlight w:val="none"/>
        </w:rPr>
      </w:pPr>
    </w:p>
    <w:p w14:paraId="1A354231">
      <w:pPr>
        <w:pStyle w:val="42"/>
        <w:outlineLvl w:val="9"/>
        <w:rPr>
          <w:rFonts w:hint="eastAsia" w:asciiTheme="minorEastAsia" w:hAnsiTheme="minorEastAsia" w:eastAsiaTheme="minorEastAsia"/>
          <w:b/>
          <w:color w:val="auto"/>
          <w:sz w:val="24"/>
          <w:highlight w:val="none"/>
        </w:rPr>
      </w:pPr>
    </w:p>
    <w:p w14:paraId="1AFFA9B5">
      <w:pPr>
        <w:pStyle w:val="42"/>
        <w:outlineLvl w:val="9"/>
        <w:rPr>
          <w:rFonts w:hint="eastAsia" w:asciiTheme="minorEastAsia" w:hAnsiTheme="minorEastAsia" w:eastAsiaTheme="minorEastAsia"/>
          <w:b/>
          <w:color w:val="auto"/>
          <w:sz w:val="24"/>
          <w:highlight w:val="none"/>
        </w:rPr>
      </w:pPr>
    </w:p>
    <w:p w14:paraId="34BEAB32">
      <w:pPr>
        <w:pStyle w:val="42"/>
        <w:outlineLvl w:val="9"/>
        <w:rPr>
          <w:rFonts w:hint="eastAsia" w:asciiTheme="minorEastAsia" w:hAnsiTheme="minorEastAsia" w:eastAsiaTheme="minorEastAsia"/>
          <w:b/>
          <w:color w:val="auto"/>
          <w:sz w:val="24"/>
          <w:highlight w:val="none"/>
        </w:rPr>
      </w:pPr>
    </w:p>
    <w:p w14:paraId="0DFBADD6">
      <w:pPr>
        <w:pStyle w:val="42"/>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outlineLvl w:val="9"/>
        <w:rPr>
          <w:rFonts w:hint="eastAsia"/>
          <w:b/>
          <w:color w:val="auto"/>
          <w:highlight w:val="none"/>
          <w:lang w:bidi="ar"/>
        </w:rPr>
      </w:pPr>
    </w:p>
    <w:p w14:paraId="6025F8DF">
      <w:pPr>
        <w:pStyle w:val="22"/>
        <w:spacing w:before="0" w:after="120" w:afterAutospacing="0"/>
        <w:ind w:firstLine="482"/>
        <w:jc w:val="center"/>
        <w:outlineLvl w:val="9"/>
        <w:rPr>
          <w:rFonts w:hint="eastAsia"/>
          <w:b/>
          <w:color w:val="auto"/>
          <w:highlight w:val="none"/>
          <w:lang w:bidi="ar"/>
        </w:rPr>
      </w:pPr>
    </w:p>
    <w:p w14:paraId="2BC96DF0">
      <w:pPr>
        <w:pStyle w:val="22"/>
        <w:spacing w:before="0" w:after="120" w:afterAutospacing="0"/>
        <w:ind w:firstLine="482"/>
        <w:jc w:val="center"/>
        <w:outlineLvl w:val="9"/>
        <w:rPr>
          <w:rFonts w:hint="eastAsia"/>
          <w:b/>
          <w:color w:val="auto"/>
          <w:highlight w:val="none"/>
          <w:lang w:bidi="ar"/>
        </w:rPr>
      </w:pPr>
    </w:p>
    <w:p w14:paraId="698B4B61">
      <w:pPr>
        <w:pStyle w:val="22"/>
        <w:spacing w:before="0" w:after="120" w:afterAutospacing="0"/>
        <w:ind w:firstLine="482"/>
        <w:jc w:val="center"/>
        <w:outlineLvl w:val="9"/>
        <w:rPr>
          <w:rFonts w:hint="eastAsia"/>
          <w:b/>
          <w:color w:val="auto"/>
          <w:highlight w:val="none"/>
          <w:lang w:bidi="ar"/>
        </w:rPr>
      </w:pPr>
    </w:p>
    <w:p w14:paraId="6EAE62B7">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568893A6">
      <w:pPr>
        <w:spacing w:line="360" w:lineRule="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b/>
          <w:bCs/>
          <w:color w:val="auto"/>
          <w:sz w:val="24"/>
          <w:szCs w:val="24"/>
          <w:highlight w:val="none"/>
          <w:lang w:bidi="ar"/>
        </w:rPr>
        <w:t>法定代表人身份证明复印件</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color w:val="auto"/>
          <w:sz w:val="24"/>
          <w:szCs w:val="24"/>
          <w:highlight w:val="none"/>
          <w:lang w:bidi="ar"/>
        </w:rPr>
        <w:t xml:space="preserve"> </w:t>
      </w:r>
    </w:p>
    <w:p w14:paraId="485929D8">
      <w:pPr>
        <w:pStyle w:val="42"/>
        <w:rPr>
          <w:rFonts w:hint="eastAsia" w:ascii="宋体" w:hAnsi="宋体" w:eastAsia="宋体" w:cs="宋体"/>
          <w:color w:val="auto"/>
          <w:sz w:val="24"/>
          <w:szCs w:val="24"/>
          <w:highlight w:val="none"/>
          <w:lang w:bidi="ar"/>
        </w:rPr>
      </w:pPr>
    </w:p>
    <w:p w14:paraId="4D55131F">
      <w:pPr>
        <w:pStyle w:val="42"/>
        <w:rPr>
          <w:rFonts w:hint="eastAsia" w:ascii="宋体" w:hAnsi="宋体" w:eastAsia="宋体" w:cs="宋体"/>
          <w:color w:val="auto"/>
          <w:sz w:val="24"/>
          <w:szCs w:val="24"/>
          <w:highlight w:val="none"/>
          <w:lang w:bidi="ar"/>
        </w:rPr>
      </w:pPr>
    </w:p>
    <w:p w14:paraId="3939F66F">
      <w:pPr>
        <w:pStyle w:val="42"/>
        <w:rPr>
          <w:rFonts w:hint="eastAsia" w:ascii="宋体" w:hAnsi="宋体" w:eastAsia="宋体" w:cs="宋体"/>
          <w:color w:val="auto"/>
          <w:sz w:val="24"/>
          <w:szCs w:val="24"/>
          <w:highlight w:val="none"/>
          <w:lang w:bidi="ar"/>
        </w:rPr>
      </w:pP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019C0774">
      <w:pPr>
        <w:pStyle w:val="42"/>
        <w:rPr>
          <w:rFonts w:hint="eastAsia" w:ascii="宋体" w:hAnsi="宋体" w:eastAsia="宋体" w:cs="宋体"/>
          <w:color w:val="auto"/>
          <w:sz w:val="24"/>
          <w:szCs w:val="24"/>
          <w:highlight w:val="none"/>
          <w:lang w:bidi="ar"/>
        </w:rPr>
      </w:pPr>
    </w:p>
    <w:p w14:paraId="3963BCCA">
      <w:pPr>
        <w:pStyle w:val="42"/>
        <w:rPr>
          <w:rFonts w:hint="eastAsia" w:ascii="宋体" w:hAnsi="宋体" w:eastAsia="宋体" w:cs="宋体"/>
          <w:color w:val="auto"/>
          <w:sz w:val="24"/>
          <w:szCs w:val="24"/>
          <w:highlight w:val="none"/>
          <w:lang w:bidi="ar"/>
        </w:rPr>
      </w:pPr>
    </w:p>
    <w:p w14:paraId="7325E018">
      <w:pPr>
        <w:pStyle w:val="42"/>
        <w:rPr>
          <w:rFonts w:hint="eastAsia" w:ascii="宋体" w:hAnsi="宋体" w:eastAsia="宋体" w:cs="宋体"/>
          <w:color w:val="auto"/>
          <w:sz w:val="24"/>
          <w:szCs w:val="24"/>
          <w:highlight w:val="none"/>
          <w:lang w:bidi="ar"/>
        </w:rPr>
      </w:pPr>
    </w:p>
    <w:p w14:paraId="7C145F16">
      <w:pPr>
        <w:pStyle w:val="42"/>
        <w:rPr>
          <w:rFonts w:hint="eastAsia" w:ascii="宋体" w:hAnsi="宋体" w:eastAsia="宋体" w:cs="宋体"/>
          <w:color w:val="auto"/>
          <w:sz w:val="24"/>
          <w:szCs w:val="24"/>
          <w:highlight w:val="none"/>
          <w:lang w:bidi="ar"/>
        </w:rPr>
      </w:pPr>
    </w:p>
    <w:p w14:paraId="7DF1E830">
      <w:pPr>
        <w:pStyle w:val="42"/>
        <w:rPr>
          <w:rFonts w:hint="eastAsia" w:ascii="宋体" w:hAnsi="宋体" w:eastAsia="宋体" w:cs="宋体"/>
          <w:color w:val="auto"/>
          <w:sz w:val="24"/>
          <w:szCs w:val="24"/>
          <w:highlight w:val="none"/>
          <w:lang w:bidi="ar"/>
        </w:rPr>
      </w:pP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b/>
          <w:bCs/>
          <w:color w:val="auto"/>
          <w:sz w:val="24"/>
          <w:szCs w:val="24"/>
          <w:highlight w:val="none"/>
          <w:lang w:bidi="ar"/>
        </w:rPr>
        <w:t>本项目只允许有唯一的投标人授权代表；</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bidi="zh-CN"/>
              </w:rPr>
              <w:t>自身所投产品设计使用年限：</w:t>
            </w:r>
            <w:r>
              <w:rPr>
                <w:rFonts w:hint="eastAsia" w:ascii="宋体" w:hAnsi="宋体" w:eastAsia="宋体" w:cs="宋体"/>
                <w:color w:val="auto"/>
                <w:sz w:val="24"/>
                <w:szCs w:val="24"/>
                <w:highlight w:val="none"/>
                <w:u w:val="single"/>
                <w:lang w:val="en-US" w:bidi="zh-CN"/>
              </w:rPr>
              <w:t xml:space="preserve">        </w:t>
            </w:r>
            <w:r>
              <w:rPr>
                <w:rFonts w:hint="eastAsia" w:ascii="宋体" w:hAnsi="宋体" w:eastAsia="宋体" w:cs="宋体"/>
                <w:color w:val="auto"/>
                <w:sz w:val="24"/>
                <w:szCs w:val="24"/>
                <w:highlight w:val="none"/>
                <w:lang w:val="en-US" w:bidi="zh-CN"/>
              </w:rPr>
              <w:t>年</w:t>
            </w:r>
          </w:p>
          <w:p w14:paraId="5F20753A">
            <w:pPr>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0"/>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8"/>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outlineLvl w:val="9"/>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outlineLvl w:val="9"/>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224E8B84">
      <w:pPr>
        <w:spacing w:line="360" w:lineRule="auto"/>
        <w:jc w:val="center"/>
        <w:outlineLvl w:val="9"/>
        <w:rPr>
          <w:rFonts w:hint="eastAsia" w:ascii="宋体" w:hAnsi="宋体" w:eastAsia="宋体" w:cs="宋体"/>
          <w:b/>
          <w:color w:val="auto"/>
          <w:sz w:val="24"/>
          <w:szCs w:val="24"/>
          <w:highlight w:val="none"/>
          <w:lang w:bidi="ar"/>
        </w:rPr>
      </w:pPr>
    </w:p>
    <w:p w14:paraId="0A13D758">
      <w:pPr>
        <w:spacing w:line="360" w:lineRule="auto"/>
        <w:jc w:val="center"/>
        <w:outlineLvl w:val="9"/>
        <w:rPr>
          <w:rFonts w:hint="eastAsia" w:ascii="宋体" w:hAnsi="宋体" w:eastAsia="宋体" w:cs="宋体"/>
          <w:b/>
          <w:color w:val="auto"/>
          <w:sz w:val="24"/>
          <w:szCs w:val="24"/>
          <w:highlight w:val="none"/>
          <w:lang w:bidi="ar"/>
        </w:rPr>
      </w:pPr>
    </w:p>
    <w:p w14:paraId="703E6277">
      <w:pPr>
        <w:spacing w:line="360" w:lineRule="auto"/>
        <w:jc w:val="center"/>
        <w:outlineLvl w:val="9"/>
        <w:rPr>
          <w:rFonts w:hint="eastAsia" w:ascii="宋体" w:hAnsi="宋体" w:eastAsia="宋体" w:cs="宋体"/>
          <w:b/>
          <w:color w:val="auto"/>
          <w:sz w:val="24"/>
          <w:szCs w:val="24"/>
          <w:highlight w:val="none"/>
          <w:lang w:bidi="ar"/>
        </w:rPr>
      </w:pPr>
    </w:p>
    <w:p w14:paraId="071F21A7">
      <w:pPr>
        <w:spacing w:line="360" w:lineRule="auto"/>
        <w:jc w:val="center"/>
        <w:outlineLvl w:val="9"/>
        <w:rPr>
          <w:rFonts w:hint="eastAsia" w:ascii="宋体" w:hAnsi="宋体" w:eastAsia="宋体" w:cs="宋体"/>
          <w:b/>
          <w:color w:val="auto"/>
          <w:sz w:val="24"/>
          <w:szCs w:val="24"/>
          <w:highlight w:val="none"/>
          <w:lang w:bidi="ar"/>
        </w:rPr>
      </w:pPr>
    </w:p>
    <w:p w14:paraId="6317A182">
      <w:pPr>
        <w:pStyle w:val="9"/>
        <w:outlineLvl w:val="9"/>
        <w:rPr>
          <w:rFonts w:hint="eastAsia"/>
          <w:color w:val="auto"/>
          <w:highlight w:val="none"/>
        </w:rPr>
      </w:pPr>
    </w:p>
    <w:p w14:paraId="08A329FF">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15E4A7FF">
      <w:pPr>
        <w:spacing w:line="360" w:lineRule="auto"/>
        <w:ind w:firstLine="5280" w:firstLineChars="2200"/>
        <w:outlineLvl w:val="9"/>
        <w:rPr>
          <w:rFonts w:hint="eastAsia" w:ascii="宋体" w:hAnsi="宋体" w:eastAsia="宋体" w:cs="宋体"/>
          <w:color w:val="auto"/>
          <w:sz w:val="24"/>
          <w:szCs w:val="24"/>
          <w:highlight w:val="none"/>
          <w:lang w:bidi="ar"/>
        </w:rPr>
      </w:pPr>
    </w:p>
    <w:p w14:paraId="04A5524E">
      <w:pPr>
        <w:spacing w:line="360" w:lineRule="auto"/>
        <w:ind w:firstLine="5280" w:firstLineChars="22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8" w:name="_Toc32633"/>
      <w:bookmarkStart w:id="69" w:name="_Toc268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2"/>
    <w:bookmarkEnd w:id="63"/>
    <w:p w14:paraId="06E93961">
      <w:pPr>
        <w:widowControl/>
        <w:jc w:val="center"/>
        <w:outlineLvl w:val="9"/>
        <w:rPr>
          <w:rFonts w:hint="eastAsia" w:ascii="宋体" w:hAnsi="宋体" w:eastAsia="宋体" w:cs="宋体"/>
          <w:b/>
          <w:color w:val="auto"/>
          <w:sz w:val="24"/>
          <w:szCs w:val="24"/>
          <w:highlight w:val="none"/>
          <w:lang w:bidi="ar"/>
        </w:rPr>
      </w:pPr>
      <w:bookmarkStart w:id="70"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1"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9374884">
      <w:pPr>
        <w:spacing w:line="360" w:lineRule="auto"/>
        <w:jc w:val="center"/>
        <w:outlineLvl w:val="9"/>
        <w:rPr>
          <w:rFonts w:hint="eastAsia" w:ascii="仿宋" w:hAnsi="仿宋" w:eastAsia="仿宋" w:cs="仿宋"/>
          <w:b/>
          <w:bCs/>
          <w:color w:val="auto"/>
          <w:sz w:val="32"/>
          <w:szCs w:val="44"/>
          <w:highlight w:val="none"/>
        </w:rPr>
      </w:pPr>
      <w:bookmarkStart w:id="72" w:name="_Toc27159"/>
      <w:bookmarkStart w:id="73" w:name="_Toc27489"/>
      <w:r>
        <w:rPr>
          <w:rFonts w:hint="eastAsia" w:ascii="仿宋" w:hAnsi="仿宋" w:eastAsia="仿宋" w:cs="仿宋"/>
          <w:b/>
          <w:bCs/>
          <w:color w:val="auto"/>
          <w:sz w:val="32"/>
          <w:szCs w:val="44"/>
          <w:highlight w:val="none"/>
        </w:rPr>
        <w:t>询问函范本</w:t>
      </w:r>
      <w:bookmarkEnd w:id="72"/>
      <w:bookmarkEnd w:id="73"/>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6" w:name="_Toc3245"/>
      <w:bookmarkStart w:id="77" w:name="_Toc1575"/>
      <w:r>
        <w:rPr>
          <w:rFonts w:hint="eastAsia" w:ascii="仿宋" w:hAnsi="仿宋" w:eastAsia="仿宋" w:cs="仿宋"/>
          <w:b/>
          <w:bCs/>
          <w:color w:val="auto"/>
          <w:sz w:val="32"/>
          <w:szCs w:val="44"/>
          <w:highlight w:val="none"/>
        </w:rPr>
        <w:t>质疑函范本</w:t>
      </w:r>
      <w:bookmarkEnd w:id="76"/>
      <w:bookmarkEnd w:id="77"/>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2" w:name="_Toc26836"/>
      <w:bookmarkStart w:id="83" w:name="_Toc9754"/>
      <w:r>
        <w:rPr>
          <w:rFonts w:hint="eastAsia" w:asciiTheme="minorEastAsia" w:hAnsiTheme="minorEastAsia" w:eastAsiaTheme="minorEastAsia"/>
          <w:b/>
          <w:color w:val="auto"/>
          <w:sz w:val="28"/>
          <w:szCs w:val="32"/>
          <w:highlight w:val="none"/>
        </w:rPr>
        <w:t>质疑函制作说明：</w:t>
      </w:r>
      <w:bookmarkEnd w:id="82"/>
      <w:bookmarkEnd w:id="83"/>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4"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4"/>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5" w:name="OLE_LINK92"/>
      <w:bookmarkEnd w:id="85"/>
      <w:bookmarkStart w:id="86" w:name="OLE_LINK91"/>
      <w:bookmarkEnd w:id="86"/>
      <w:bookmarkStart w:id="87" w:name="OLE_LINK93"/>
      <w:bookmarkEnd w:id="87"/>
      <w:bookmarkStart w:id="88" w:name="OLE_LINK103"/>
      <w:r>
        <w:rPr>
          <w:rFonts w:hint="eastAsia" w:ascii="宋体" w:hAnsi="宋体" w:eastAsia="宋体" w:cs="宋体"/>
          <w:color w:val="auto"/>
          <w:sz w:val="24"/>
          <w:szCs w:val="24"/>
          <w:highlight w:val="none"/>
          <w:lang w:bidi="ar"/>
        </w:rPr>
        <w:t>投标人、法定代表人及其项目经理(建造师)</w:t>
      </w:r>
      <w:bookmarkEnd w:id="88"/>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9" w:name="OLE_LINK87"/>
      <w:bookmarkEnd w:id="89"/>
      <w:bookmarkStart w:id="90" w:name="OLE_LINK86"/>
      <w:bookmarkEnd w:id="90"/>
      <w:bookmarkStart w:id="91" w:name="OLE_LINK119"/>
      <w:bookmarkEnd w:id="91"/>
      <w:bookmarkStart w:id="92" w:name="OLE_LINK94"/>
      <w:r>
        <w:rPr>
          <w:rFonts w:hint="eastAsia" w:ascii="宋体" w:hAnsi="宋体" w:eastAsia="宋体" w:cs="宋体"/>
          <w:color w:val="auto"/>
          <w:sz w:val="24"/>
          <w:szCs w:val="24"/>
          <w:highlight w:val="none"/>
          <w:lang w:bidi="ar"/>
        </w:rPr>
        <w:t>①被列入“失信被执行人”的;</w:t>
      </w:r>
      <w:bookmarkEnd w:id="92"/>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3" w:name="OLE_LINK115"/>
      <w:bookmarkEnd w:id="93"/>
      <w:bookmarkStart w:id="94" w:name="OLE_LINK117"/>
      <w:bookmarkEnd w:id="94"/>
      <w:bookmarkStart w:id="95" w:name="OLE_LINK116"/>
      <w:bookmarkEnd w:id="95"/>
      <w:bookmarkStart w:id="96" w:name="OLE_LINK118"/>
      <w:r>
        <w:rPr>
          <w:rFonts w:hint="eastAsia" w:ascii="宋体" w:hAnsi="宋体" w:eastAsia="宋体" w:cs="宋体"/>
          <w:color w:val="auto"/>
          <w:sz w:val="24"/>
          <w:szCs w:val="24"/>
          <w:highlight w:val="none"/>
          <w:lang w:bidi="ar"/>
        </w:rPr>
        <w:t>“重大税收违法失信主体”</w:t>
      </w:r>
      <w:bookmarkEnd w:id="96"/>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7" w:name="OLE_LINK85"/>
      <w:bookmarkEnd w:id="97"/>
      <w:bookmarkStart w:id="98" w:name="OLE_LINK84"/>
      <w:r>
        <w:rPr>
          <w:rFonts w:hint="eastAsia" w:ascii="宋体" w:hAnsi="宋体" w:eastAsia="宋体" w:cs="宋体"/>
          <w:color w:val="auto"/>
          <w:sz w:val="24"/>
          <w:szCs w:val="24"/>
          <w:highlight w:val="none"/>
          <w:lang w:bidi="ar"/>
        </w:rPr>
        <w:t>农民工工资失信联合惩戒对象</w:t>
      </w:r>
      <w:bookmarkEnd w:id="98"/>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9" w:name="OLE_LINK130"/>
      <w:r>
        <w:rPr>
          <w:rFonts w:hint="eastAsia" w:ascii="宋体" w:hAnsi="宋体" w:eastAsia="宋体" w:cs="宋体"/>
          <w:color w:val="auto"/>
          <w:sz w:val="24"/>
          <w:szCs w:val="24"/>
          <w:highlight w:val="none"/>
          <w:lang w:bidi="ar"/>
        </w:rPr>
        <w:t>国家企业信用信息公示系统网站</w:t>
      </w:r>
      <w:bookmarkEnd w:id="99"/>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0" w:name="OLE_LINK120"/>
      <w:bookmarkEnd w:id="100"/>
      <w:bookmarkStart w:id="101" w:name="OLE_LINK121"/>
      <w:bookmarkEnd w:id="101"/>
      <w:bookmarkStart w:id="102" w:name="OLE_LINK122"/>
      <w:r>
        <w:rPr>
          <w:rFonts w:hint="eastAsia" w:ascii="宋体" w:hAnsi="宋体" w:eastAsia="宋体" w:cs="宋体"/>
          <w:color w:val="auto"/>
          <w:sz w:val="24"/>
          <w:szCs w:val="24"/>
          <w:highlight w:val="none"/>
          <w:lang w:bidi="ar"/>
        </w:rPr>
        <w:t>①被列入“经营异常名录”或者“严重违法失信名单”的。</w:t>
      </w:r>
      <w:bookmarkEnd w:id="102"/>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3" w:name="OLE_LINK123"/>
      <w:bookmarkEnd w:id="103"/>
      <w:bookmarkStart w:id="104" w:name="OLE_LINK124"/>
      <w:r>
        <w:rPr>
          <w:rFonts w:hint="eastAsia" w:ascii="宋体" w:hAnsi="宋体" w:eastAsia="宋体" w:cs="宋体"/>
          <w:color w:val="auto"/>
          <w:sz w:val="24"/>
          <w:szCs w:val="24"/>
          <w:highlight w:val="none"/>
          <w:lang w:bidi="ar"/>
        </w:rPr>
        <w:t>①</w:t>
      </w:r>
      <w:bookmarkEnd w:id="104"/>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5" w:name="OLE_LINK108"/>
      <w:bookmarkEnd w:id="105"/>
      <w:bookmarkStart w:id="106"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6"/>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7" w:name="OLE_LINK102"/>
      <w:bookmarkEnd w:id="107"/>
      <w:bookmarkStart w:id="108" w:name="OLE_LINK100"/>
      <w:bookmarkEnd w:id="108"/>
      <w:bookmarkStart w:id="109" w:name="OLE_LINK101"/>
      <w:r>
        <w:rPr>
          <w:rFonts w:hint="eastAsia" w:ascii="宋体" w:hAnsi="宋体" w:eastAsia="宋体" w:cs="宋体"/>
          <w:color w:val="auto"/>
          <w:sz w:val="24"/>
          <w:szCs w:val="24"/>
          <w:highlight w:val="none"/>
          <w:lang w:bidi="ar"/>
        </w:rPr>
        <w:t>被列入“经营异常名录”或者“严重违法失信名单”的</w:t>
      </w:r>
      <w:bookmarkEnd w:id="109"/>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10" w:name="OLE_LINK95"/>
      <w:bookmarkEnd w:id="110"/>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1" w:name="OLE_LINK106"/>
      <w:bookmarkEnd w:id="111"/>
      <w:bookmarkStart w:id="112" w:name="OLE_LINK105"/>
      <w:bookmarkEnd w:id="112"/>
      <w:bookmarkStart w:id="113" w:name="OLE_LINK104"/>
      <w:r>
        <w:rPr>
          <w:rFonts w:hint="eastAsia" w:ascii="宋体" w:hAnsi="宋体" w:eastAsia="宋体" w:cs="宋体"/>
          <w:color w:val="auto"/>
          <w:sz w:val="24"/>
          <w:szCs w:val="24"/>
          <w:highlight w:val="none"/>
          <w:lang w:bidi="ar"/>
        </w:rPr>
        <w:t>被列入“政府采购严重违法失信行为信息记录”的</w:t>
      </w:r>
      <w:bookmarkEnd w:id="113"/>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4" w:name="_Toc4556"/>
      <w:bookmarkEnd w:id="114"/>
      <w:bookmarkStart w:id="115"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5"/>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3B637D3"/>
    <w:rsid w:val="040A094E"/>
    <w:rsid w:val="04671EF4"/>
    <w:rsid w:val="04B35139"/>
    <w:rsid w:val="04C06393"/>
    <w:rsid w:val="05595CE0"/>
    <w:rsid w:val="056F201D"/>
    <w:rsid w:val="05940AC6"/>
    <w:rsid w:val="05B664D4"/>
    <w:rsid w:val="064B485A"/>
    <w:rsid w:val="06823FBC"/>
    <w:rsid w:val="068C65C4"/>
    <w:rsid w:val="06D53145"/>
    <w:rsid w:val="07076C01"/>
    <w:rsid w:val="071C12AC"/>
    <w:rsid w:val="0723466E"/>
    <w:rsid w:val="077C7A64"/>
    <w:rsid w:val="07A934B3"/>
    <w:rsid w:val="07EB6287"/>
    <w:rsid w:val="07EC4BEA"/>
    <w:rsid w:val="0806421B"/>
    <w:rsid w:val="0822060B"/>
    <w:rsid w:val="08D77648"/>
    <w:rsid w:val="09215C24"/>
    <w:rsid w:val="094A3686"/>
    <w:rsid w:val="09747A74"/>
    <w:rsid w:val="0980662B"/>
    <w:rsid w:val="0980799C"/>
    <w:rsid w:val="09944B8E"/>
    <w:rsid w:val="09B71CDA"/>
    <w:rsid w:val="0A137FCA"/>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0FD52407"/>
    <w:rsid w:val="10086339"/>
    <w:rsid w:val="102636A0"/>
    <w:rsid w:val="107C607B"/>
    <w:rsid w:val="108113B9"/>
    <w:rsid w:val="10C87502"/>
    <w:rsid w:val="10CD72BB"/>
    <w:rsid w:val="111625C1"/>
    <w:rsid w:val="115031A6"/>
    <w:rsid w:val="12197477"/>
    <w:rsid w:val="12314985"/>
    <w:rsid w:val="1264785B"/>
    <w:rsid w:val="12925FE9"/>
    <w:rsid w:val="12AC3149"/>
    <w:rsid w:val="12E05F13"/>
    <w:rsid w:val="12F16504"/>
    <w:rsid w:val="131B5CD3"/>
    <w:rsid w:val="13776448"/>
    <w:rsid w:val="137B5074"/>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2342E"/>
    <w:rsid w:val="15C4546D"/>
    <w:rsid w:val="15E7736B"/>
    <w:rsid w:val="16881F81"/>
    <w:rsid w:val="16EA2C3C"/>
    <w:rsid w:val="17365652"/>
    <w:rsid w:val="1743376D"/>
    <w:rsid w:val="17F43647"/>
    <w:rsid w:val="18BE612E"/>
    <w:rsid w:val="18D56FD4"/>
    <w:rsid w:val="195A07CF"/>
    <w:rsid w:val="1981715C"/>
    <w:rsid w:val="19A03A86"/>
    <w:rsid w:val="1A064976"/>
    <w:rsid w:val="1A361CF4"/>
    <w:rsid w:val="1A3B68AA"/>
    <w:rsid w:val="1A3E1C1E"/>
    <w:rsid w:val="1AC437A4"/>
    <w:rsid w:val="1B2B3B67"/>
    <w:rsid w:val="1B2F50C2"/>
    <w:rsid w:val="1B6F4F40"/>
    <w:rsid w:val="1B8E0BB7"/>
    <w:rsid w:val="1C0A315F"/>
    <w:rsid w:val="1C141836"/>
    <w:rsid w:val="1C33473D"/>
    <w:rsid w:val="1C5A786C"/>
    <w:rsid w:val="1C76537D"/>
    <w:rsid w:val="1CB87339"/>
    <w:rsid w:val="1CEC2B3E"/>
    <w:rsid w:val="1CF2638E"/>
    <w:rsid w:val="1D7847A6"/>
    <w:rsid w:val="1D9C6312"/>
    <w:rsid w:val="1E1265D5"/>
    <w:rsid w:val="1E2E78B2"/>
    <w:rsid w:val="1E3F5196"/>
    <w:rsid w:val="1E4449D5"/>
    <w:rsid w:val="1E5E181A"/>
    <w:rsid w:val="1E6B6A14"/>
    <w:rsid w:val="1E9516DF"/>
    <w:rsid w:val="1E9857FA"/>
    <w:rsid w:val="1F370744"/>
    <w:rsid w:val="1F933745"/>
    <w:rsid w:val="1F9359FB"/>
    <w:rsid w:val="1FC90276"/>
    <w:rsid w:val="1FD16A32"/>
    <w:rsid w:val="20550D9A"/>
    <w:rsid w:val="20580C17"/>
    <w:rsid w:val="209B6D55"/>
    <w:rsid w:val="20AC3611"/>
    <w:rsid w:val="20D12777"/>
    <w:rsid w:val="21221225"/>
    <w:rsid w:val="21582E98"/>
    <w:rsid w:val="21845C9E"/>
    <w:rsid w:val="218E2416"/>
    <w:rsid w:val="22685920"/>
    <w:rsid w:val="226915FE"/>
    <w:rsid w:val="227000D6"/>
    <w:rsid w:val="22702106"/>
    <w:rsid w:val="22A85809"/>
    <w:rsid w:val="234F4B80"/>
    <w:rsid w:val="23555CC1"/>
    <w:rsid w:val="2411199F"/>
    <w:rsid w:val="241804A5"/>
    <w:rsid w:val="24214489"/>
    <w:rsid w:val="245D47C2"/>
    <w:rsid w:val="24B97929"/>
    <w:rsid w:val="24D632D7"/>
    <w:rsid w:val="25381017"/>
    <w:rsid w:val="25714529"/>
    <w:rsid w:val="25EA1E77"/>
    <w:rsid w:val="265A4FBD"/>
    <w:rsid w:val="26E10E4C"/>
    <w:rsid w:val="270A5A82"/>
    <w:rsid w:val="271E0BB2"/>
    <w:rsid w:val="276021F9"/>
    <w:rsid w:val="27710810"/>
    <w:rsid w:val="27CD5A5E"/>
    <w:rsid w:val="27D65DBA"/>
    <w:rsid w:val="283A6824"/>
    <w:rsid w:val="285F40CA"/>
    <w:rsid w:val="289E1AF0"/>
    <w:rsid w:val="28C01ECB"/>
    <w:rsid w:val="29253660"/>
    <w:rsid w:val="292B0514"/>
    <w:rsid w:val="29BF71E3"/>
    <w:rsid w:val="29D6387F"/>
    <w:rsid w:val="29E03A2B"/>
    <w:rsid w:val="2A127B63"/>
    <w:rsid w:val="2A186477"/>
    <w:rsid w:val="2A451A6C"/>
    <w:rsid w:val="2A93458B"/>
    <w:rsid w:val="2A950CB9"/>
    <w:rsid w:val="2AAA4765"/>
    <w:rsid w:val="2AC21606"/>
    <w:rsid w:val="2B365FF8"/>
    <w:rsid w:val="2B446269"/>
    <w:rsid w:val="2B7E7608"/>
    <w:rsid w:val="2B7F04E9"/>
    <w:rsid w:val="2B8B554A"/>
    <w:rsid w:val="2C8D32DB"/>
    <w:rsid w:val="2C932FD6"/>
    <w:rsid w:val="2CD741F3"/>
    <w:rsid w:val="2CDA6931"/>
    <w:rsid w:val="2CE901CD"/>
    <w:rsid w:val="2D1B2D7A"/>
    <w:rsid w:val="2D496D68"/>
    <w:rsid w:val="2E7A48DE"/>
    <w:rsid w:val="2E9C43C4"/>
    <w:rsid w:val="2EBA5177"/>
    <w:rsid w:val="2EDC3ED8"/>
    <w:rsid w:val="2EE40E2C"/>
    <w:rsid w:val="2F104B00"/>
    <w:rsid w:val="2F5D05DC"/>
    <w:rsid w:val="2F6351B4"/>
    <w:rsid w:val="2F9E02E9"/>
    <w:rsid w:val="2FA53C7A"/>
    <w:rsid w:val="2FC86126"/>
    <w:rsid w:val="2FC968E8"/>
    <w:rsid w:val="2FCF199E"/>
    <w:rsid w:val="30133AD1"/>
    <w:rsid w:val="30483E83"/>
    <w:rsid w:val="30850E88"/>
    <w:rsid w:val="309317F7"/>
    <w:rsid w:val="30AC2E50"/>
    <w:rsid w:val="30BF3991"/>
    <w:rsid w:val="30C602FF"/>
    <w:rsid w:val="3111619A"/>
    <w:rsid w:val="31424684"/>
    <w:rsid w:val="316F5DC0"/>
    <w:rsid w:val="31B139DC"/>
    <w:rsid w:val="31B46FF2"/>
    <w:rsid w:val="31F07456"/>
    <w:rsid w:val="32497AF3"/>
    <w:rsid w:val="32867865"/>
    <w:rsid w:val="3341378C"/>
    <w:rsid w:val="3362086A"/>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7F52D97"/>
    <w:rsid w:val="383733B0"/>
    <w:rsid w:val="38694EE9"/>
    <w:rsid w:val="387B329C"/>
    <w:rsid w:val="38B92017"/>
    <w:rsid w:val="392B3A1F"/>
    <w:rsid w:val="39717338"/>
    <w:rsid w:val="399565E0"/>
    <w:rsid w:val="39A05ADB"/>
    <w:rsid w:val="39B40599"/>
    <w:rsid w:val="3A0946EB"/>
    <w:rsid w:val="3A117273"/>
    <w:rsid w:val="3A6818FA"/>
    <w:rsid w:val="3AAD21B4"/>
    <w:rsid w:val="3AB344ED"/>
    <w:rsid w:val="3B0B7552"/>
    <w:rsid w:val="3B0B7708"/>
    <w:rsid w:val="3B365CC9"/>
    <w:rsid w:val="3B60677A"/>
    <w:rsid w:val="3B697D24"/>
    <w:rsid w:val="3B814447"/>
    <w:rsid w:val="3B9A7B88"/>
    <w:rsid w:val="3BA24FE4"/>
    <w:rsid w:val="3BB42978"/>
    <w:rsid w:val="3BD8694B"/>
    <w:rsid w:val="3C161A03"/>
    <w:rsid w:val="3C534CA8"/>
    <w:rsid w:val="3C7879F1"/>
    <w:rsid w:val="3CDF3F9E"/>
    <w:rsid w:val="3D2C7AC8"/>
    <w:rsid w:val="3D4E2786"/>
    <w:rsid w:val="3D536596"/>
    <w:rsid w:val="3D680A02"/>
    <w:rsid w:val="3D855D12"/>
    <w:rsid w:val="3D8B42FF"/>
    <w:rsid w:val="3DC456E6"/>
    <w:rsid w:val="3DD338D1"/>
    <w:rsid w:val="3DE86C4C"/>
    <w:rsid w:val="3DF36A6E"/>
    <w:rsid w:val="3EA572C5"/>
    <w:rsid w:val="3EBA1EE9"/>
    <w:rsid w:val="3ED2798E"/>
    <w:rsid w:val="3F0833B0"/>
    <w:rsid w:val="3F182204"/>
    <w:rsid w:val="3F792F1E"/>
    <w:rsid w:val="3F9133A5"/>
    <w:rsid w:val="40270EDD"/>
    <w:rsid w:val="403D52DB"/>
    <w:rsid w:val="40493E7F"/>
    <w:rsid w:val="40824826"/>
    <w:rsid w:val="40A54574"/>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3AE22D6"/>
    <w:rsid w:val="448121AB"/>
    <w:rsid w:val="449E0D39"/>
    <w:rsid w:val="452B2B5E"/>
    <w:rsid w:val="4542321E"/>
    <w:rsid w:val="45B222C8"/>
    <w:rsid w:val="45B44292"/>
    <w:rsid w:val="45C73FC5"/>
    <w:rsid w:val="45E32B26"/>
    <w:rsid w:val="45EF5FB8"/>
    <w:rsid w:val="46285197"/>
    <w:rsid w:val="463A3650"/>
    <w:rsid w:val="46461627"/>
    <w:rsid w:val="4650729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172D0C"/>
    <w:rsid w:val="4C3C565C"/>
    <w:rsid w:val="4C5C55E6"/>
    <w:rsid w:val="4CCC79C7"/>
    <w:rsid w:val="4CE94821"/>
    <w:rsid w:val="4D0300DE"/>
    <w:rsid w:val="4D0B5439"/>
    <w:rsid w:val="4D553CBF"/>
    <w:rsid w:val="4D7555C7"/>
    <w:rsid w:val="4D830553"/>
    <w:rsid w:val="4DF07D79"/>
    <w:rsid w:val="4DF65A5C"/>
    <w:rsid w:val="4E8D742E"/>
    <w:rsid w:val="4EAE6DA0"/>
    <w:rsid w:val="4EB8094F"/>
    <w:rsid w:val="4EEA7E3B"/>
    <w:rsid w:val="4FCF2EA3"/>
    <w:rsid w:val="4FE617D9"/>
    <w:rsid w:val="4FE707F9"/>
    <w:rsid w:val="5016514B"/>
    <w:rsid w:val="50757147"/>
    <w:rsid w:val="50BD4DF3"/>
    <w:rsid w:val="50CF0EE9"/>
    <w:rsid w:val="50FC1A26"/>
    <w:rsid w:val="51137C86"/>
    <w:rsid w:val="513B2CE7"/>
    <w:rsid w:val="516905D8"/>
    <w:rsid w:val="51723664"/>
    <w:rsid w:val="51771629"/>
    <w:rsid w:val="518947D7"/>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8319C8"/>
    <w:rsid w:val="55AA033A"/>
    <w:rsid w:val="55C1559C"/>
    <w:rsid w:val="55E10E5A"/>
    <w:rsid w:val="55F068CD"/>
    <w:rsid w:val="560C77D2"/>
    <w:rsid w:val="566C3136"/>
    <w:rsid w:val="567E3943"/>
    <w:rsid w:val="56823A8C"/>
    <w:rsid w:val="568D04F2"/>
    <w:rsid w:val="56B16C89"/>
    <w:rsid w:val="57033184"/>
    <w:rsid w:val="578B0CFA"/>
    <w:rsid w:val="57CF6D09"/>
    <w:rsid w:val="58033A09"/>
    <w:rsid w:val="580845C6"/>
    <w:rsid w:val="587F6530"/>
    <w:rsid w:val="58B91CD7"/>
    <w:rsid w:val="58C91B5D"/>
    <w:rsid w:val="58F17C86"/>
    <w:rsid w:val="593C217C"/>
    <w:rsid w:val="594C6863"/>
    <w:rsid w:val="59513E7A"/>
    <w:rsid w:val="59F16D3C"/>
    <w:rsid w:val="5A0B43C0"/>
    <w:rsid w:val="5A296BA4"/>
    <w:rsid w:val="5A395792"/>
    <w:rsid w:val="5A526582"/>
    <w:rsid w:val="5A5F5C77"/>
    <w:rsid w:val="5A711A0D"/>
    <w:rsid w:val="5ADA7E9F"/>
    <w:rsid w:val="5B0E7B48"/>
    <w:rsid w:val="5B1613E4"/>
    <w:rsid w:val="5B2568B5"/>
    <w:rsid w:val="5B78003B"/>
    <w:rsid w:val="5BAF30D9"/>
    <w:rsid w:val="5BC11A60"/>
    <w:rsid w:val="5C425CFC"/>
    <w:rsid w:val="5C7A4D54"/>
    <w:rsid w:val="5CBD2F36"/>
    <w:rsid w:val="5CBF7A3A"/>
    <w:rsid w:val="5CC26DAC"/>
    <w:rsid w:val="5CC86079"/>
    <w:rsid w:val="5CD23B73"/>
    <w:rsid w:val="5CD57954"/>
    <w:rsid w:val="5D544233"/>
    <w:rsid w:val="5D5A52C7"/>
    <w:rsid w:val="5D5A77C0"/>
    <w:rsid w:val="5D7C1410"/>
    <w:rsid w:val="5DAA0B9B"/>
    <w:rsid w:val="5DC14E75"/>
    <w:rsid w:val="5DE057CC"/>
    <w:rsid w:val="5E1C65B7"/>
    <w:rsid w:val="5E231B5D"/>
    <w:rsid w:val="5E2C3A34"/>
    <w:rsid w:val="5F127819"/>
    <w:rsid w:val="5F4A0A0D"/>
    <w:rsid w:val="60350ED3"/>
    <w:rsid w:val="60B72AEE"/>
    <w:rsid w:val="60EF0689"/>
    <w:rsid w:val="60F650B9"/>
    <w:rsid w:val="60F872D1"/>
    <w:rsid w:val="61025188"/>
    <w:rsid w:val="61057D5F"/>
    <w:rsid w:val="611D0AE5"/>
    <w:rsid w:val="61273712"/>
    <w:rsid w:val="614D4977"/>
    <w:rsid w:val="61704C00"/>
    <w:rsid w:val="61E33ADD"/>
    <w:rsid w:val="624A590A"/>
    <w:rsid w:val="626D25CE"/>
    <w:rsid w:val="627E5CB2"/>
    <w:rsid w:val="62CE1B77"/>
    <w:rsid w:val="633A772C"/>
    <w:rsid w:val="63C60FC0"/>
    <w:rsid w:val="63CB2A7A"/>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6FB3FFB"/>
    <w:rsid w:val="67201527"/>
    <w:rsid w:val="673E5FF3"/>
    <w:rsid w:val="676C6322"/>
    <w:rsid w:val="67A140FF"/>
    <w:rsid w:val="67AC4302"/>
    <w:rsid w:val="67C065A4"/>
    <w:rsid w:val="67D359C9"/>
    <w:rsid w:val="68042537"/>
    <w:rsid w:val="68103BDF"/>
    <w:rsid w:val="68E2428E"/>
    <w:rsid w:val="68E87BF5"/>
    <w:rsid w:val="68FE36DD"/>
    <w:rsid w:val="694E60FC"/>
    <w:rsid w:val="696702F4"/>
    <w:rsid w:val="6A256904"/>
    <w:rsid w:val="6A2C1D99"/>
    <w:rsid w:val="6A6612D8"/>
    <w:rsid w:val="6A7476FC"/>
    <w:rsid w:val="6AAA163C"/>
    <w:rsid w:val="6B144B23"/>
    <w:rsid w:val="6B1D34A7"/>
    <w:rsid w:val="6B2511E9"/>
    <w:rsid w:val="6B405AFC"/>
    <w:rsid w:val="6B656832"/>
    <w:rsid w:val="6BA22313"/>
    <w:rsid w:val="6BAA76A3"/>
    <w:rsid w:val="6C675CE6"/>
    <w:rsid w:val="6D4F4321"/>
    <w:rsid w:val="6DCD337A"/>
    <w:rsid w:val="6DF376F2"/>
    <w:rsid w:val="6DF41B82"/>
    <w:rsid w:val="6DFF7360"/>
    <w:rsid w:val="6E035DE2"/>
    <w:rsid w:val="6E0E4702"/>
    <w:rsid w:val="6E3F02ED"/>
    <w:rsid w:val="6E7A5F73"/>
    <w:rsid w:val="6EE90F9D"/>
    <w:rsid w:val="6F1D7B64"/>
    <w:rsid w:val="6F2A2A8B"/>
    <w:rsid w:val="6FB6454A"/>
    <w:rsid w:val="6FC06712"/>
    <w:rsid w:val="6FD74228"/>
    <w:rsid w:val="6FFD045F"/>
    <w:rsid w:val="7021106F"/>
    <w:rsid w:val="702754DC"/>
    <w:rsid w:val="704E65B0"/>
    <w:rsid w:val="7065160C"/>
    <w:rsid w:val="70980188"/>
    <w:rsid w:val="70B474DA"/>
    <w:rsid w:val="70E4517B"/>
    <w:rsid w:val="71175551"/>
    <w:rsid w:val="71462F6F"/>
    <w:rsid w:val="71633091"/>
    <w:rsid w:val="71874904"/>
    <w:rsid w:val="71A279E7"/>
    <w:rsid w:val="71C617F4"/>
    <w:rsid w:val="71D87BEC"/>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910ACE"/>
    <w:rsid w:val="75AE0CEB"/>
    <w:rsid w:val="75F37776"/>
    <w:rsid w:val="76835714"/>
    <w:rsid w:val="76BC207F"/>
    <w:rsid w:val="76EB4904"/>
    <w:rsid w:val="76F25B94"/>
    <w:rsid w:val="77065E4C"/>
    <w:rsid w:val="771C566F"/>
    <w:rsid w:val="77296E1D"/>
    <w:rsid w:val="77645DCD"/>
    <w:rsid w:val="776C7C79"/>
    <w:rsid w:val="777378F5"/>
    <w:rsid w:val="777A2D3C"/>
    <w:rsid w:val="7834742C"/>
    <w:rsid w:val="7838290E"/>
    <w:rsid w:val="78A715E8"/>
    <w:rsid w:val="79074B81"/>
    <w:rsid w:val="794F0939"/>
    <w:rsid w:val="7974588C"/>
    <w:rsid w:val="79AF0FCA"/>
    <w:rsid w:val="79B3765B"/>
    <w:rsid w:val="7A1044F1"/>
    <w:rsid w:val="7A2D43C7"/>
    <w:rsid w:val="7A560E98"/>
    <w:rsid w:val="7AF9279C"/>
    <w:rsid w:val="7BCA404B"/>
    <w:rsid w:val="7BE250F3"/>
    <w:rsid w:val="7C1B3F81"/>
    <w:rsid w:val="7C5D0785"/>
    <w:rsid w:val="7C722BF6"/>
    <w:rsid w:val="7CC51958"/>
    <w:rsid w:val="7CD53DF9"/>
    <w:rsid w:val="7D097C86"/>
    <w:rsid w:val="7D7D673C"/>
    <w:rsid w:val="7DD87E16"/>
    <w:rsid w:val="7E266DD3"/>
    <w:rsid w:val="7E2936C3"/>
    <w:rsid w:val="7E6411B9"/>
    <w:rsid w:val="7E6B10C1"/>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next w:val="10"/>
    <w:autoRedefine/>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6"/>
    <w:autoRedefine/>
    <w:qFormat/>
    <w:uiPriority w:val="0"/>
    <w:rPr>
      <w:rFonts w:ascii="Arial" w:hAnsi="Arial" w:eastAsia="宋体" w:cs="Arial"/>
      <w:b/>
      <w:sz w:val="28"/>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0"/>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1707</Words>
  <Characters>1902</Characters>
  <Lines>1</Lines>
  <Paragraphs>1</Paragraphs>
  <TotalTime>1</TotalTime>
  <ScaleCrop>false</ScaleCrop>
  <LinksUpToDate>false</LinksUpToDate>
  <CharactersWithSpaces>1994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2025-12-19T06:45:00Z</cp:lastPrinted>
  <dcterms:modified xsi:type="dcterms:W3CDTF">2026-07-17T00:56:01Z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eyJoZGlkIjoiNjM4NjllMjMwYTI3YTcyYTI2MjNlMjI3YzQ4MGZmY2UiLCJ1c2VySWQiOiIzNzgzMjE3NjkifQ==</vt:lpwstr>
  </property>
</Properties>
</file>